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100DA" w14:textId="7EB5AD18" w:rsidR="00240FF3" w:rsidRPr="00315049" w:rsidRDefault="008A3A21" w:rsidP="5A9BB10B">
      <w:pPr>
        <w:pStyle w:val="Heading1"/>
      </w:pPr>
      <w:r>
        <w:rPr>
          <w:noProof/>
        </w:rPr>
        <w:drawing>
          <wp:inline distT="0" distB="0" distL="0" distR="0" wp14:anchorId="0A127A27" wp14:editId="4E5FB55C">
            <wp:extent cx="7104380" cy="2257425"/>
            <wp:effectExtent l="0" t="0" r="0" b="3175"/>
            <wp:docPr id="1" name="Picture 1" descr="Queensland University of Technology Logo set on blue sky and various peoples hands holding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7104380" cy="2257425"/>
                    </a:xfrm>
                    <a:prstGeom prst="rect">
                      <a:avLst/>
                    </a:prstGeom>
                  </pic:spPr>
                </pic:pic>
              </a:graphicData>
            </a:graphic>
          </wp:inline>
        </w:drawing>
      </w:r>
      <w:r w:rsidR="00294D95">
        <w:t>Briefing Paper Series</w:t>
      </w:r>
    </w:p>
    <w:p w14:paraId="16C621DA" w14:textId="5D249B85" w:rsidR="00294D95" w:rsidRDefault="00294D95" w:rsidP="396E32E9">
      <w:pPr>
        <w:spacing w:beforeAutospacing="1"/>
      </w:pPr>
      <w:r>
        <w:t>ISSN 2652-5828 (Print), 2652-6441 (Online)</w:t>
      </w:r>
    </w:p>
    <w:p w14:paraId="3A9CEF99" w14:textId="5A121DC5" w:rsidR="00294D95" w:rsidRPr="00315049" w:rsidRDefault="0094457C" w:rsidP="0094457C">
      <w:pPr>
        <w:spacing w:beforeAutospacing="1"/>
      </w:pPr>
      <w:r>
        <w:t>December 2020/ Issue No 10</w:t>
      </w:r>
    </w:p>
    <w:p w14:paraId="33ECA636" w14:textId="10A9A0AA" w:rsidR="00E60C7A" w:rsidRPr="00463340" w:rsidRDefault="00E60C7A" w:rsidP="00463340">
      <w:pPr>
        <w:pStyle w:val="Heading2"/>
      </w:pPr>
      <w:r w:rsidRPr="00463340">
        <w:t>Editorial Introduction</w:t>
      </w:r>
    </w:p>
    <w:p w14:paraId="48D2A933" w14:textId="77777777" w:rsidR="0094457C" w:rsidRDefault="0094457C" w:rsidP="0094457C">
      <w:r>
        <w:t xml:space="preserve">Disabled people continue to experience exclusion by design in our everyday spaces, </w:t>
      </w:r>
      <w:proofErr w:type="gramStart"/>
      <w:r>
        <w:t>infrastructure</w:t>
      </w:r>
      <w:proofErr w:type="gramEnd"/>
      <w:r>
        <w:t xml:space="preserve"> and services, which has been magnified through the COVID-19 pandemic. Now, more than ever, there is an opportunity for urban and regional planning practitioners, </w:t>
      </w:r>
      <w:proofErr w:type="gramStart"/>
      <w:r>
        <w:t>researchers</w:t>
      </w:r>
      <w:proofErr w:type="gramEnd"/>
      <w:r>
        <w:t xml:space="preserve"> and disabled people to come together to advocate for and create inclusive, sustainable communities for all. However, to make this transformative, we must first critically question how well do we really consider human diversity in planning cities, </w:t>
      </w:r>
      <w:proofErr w:type="gramStart"/>
      <w:r>
        <w:t>towns</w:t>
      </w:r>
      <w:proofErr w:type="gramEnd"/>
      <w:r>
        <w:t xml:space="preserve"> and regions? This question is examined in this briefing paper by contesting entrenched challenges like ‘ableism’ before providing fundamental starting points for planners in planning more inclusive and just communities for all.</w:t>
      </w:r>
    </w:p>
    <w:p w14:paraId="5685479D" w14:textId="49636830" w:rsidR="00E60C7A" w:rsidRDefault="0094457C" w:rsidP="0094457C">
      <w:r>
        <w:t>Dr Lisa Stafford, ARC DECRA Fellow, School Public Health and Social Work, QUT and Program Lead, Ecologies of Justice, QUT Centre for Justice.  Lisa identified as a disabled person.</w:t>
      </w:r>
    </w:p>
    <w:p w14:paraId="523260A3" w14:textId="77777777" w:rsidR="004E4EAF" w:rsidRDefault="004E4EAF" w:rsidP="00315049">
      <w:pPr>
        <w:pStyle w:val="Heading1"/>
      </w:pPr>
      <w:r>
        <w:t>Planning Inclusively: Disrupting ‘Ableism’ to Make Communities Just for All</w:t>
      </w:r>
    </w:p>
    <w:p w14:paraId="4BAFA452" w14:textId="5B884AA2" w:rsidR="004E4EAF" w:rsidRPr="00463340" w:rsidRDefault="004E4EAF" w:rsidP="00463340">
      <w:pPr>
        <w:pStyle w:val="Heading3"/>
      </w:pPr>
      <w:r w:rsidRPr="00463340">
        <w:t>Lisa Stafford</w:t>
      </w:r>
    </w:p>
    <w:p w14:paraId="493779A2" w14:textId="77777777" w:rsidR="0094457C" w:rsidRPr="0094457C" w:rsidRDefault="0094457C" w:rsidP="0094457C">
      <w:pPr>
        <w:rPr>
          <w:lang w:val="en-GB"/>
        </w:rPr>
      </w:pPr>
      <w:r w:rsidRPr="0094457C">
        <w:rPr>
          <w:lang w:val="en-GB"/>
        </w:rPr>
        <w:t xml:space="preserve">Urban and regional planners often speak of values and principles about making communities just and liveable by addressing social–spatial inequalities. Yet, in relation to disabled people, what does spatial justice look like in policy and planning practice as there is growing exclusion, which has only been magnified through the COVID-19 pandemic. The language of ‘disabled people’ is used here in line with social and critical models of disability that recognise that people with impairments are disabled by society through the effects of ableist attitudes, </w:t>
      </w:r>
      <w:proofErr w:type="gramStart"/>
      <w:r w:rsidRPr="0094457C">
        <w:rPr>
          <w:lang w:val="en-GB"/>
        </w:rPr>
        <w:t>systems</w:t>
      </w:r>
      <w:proofErr w:type="gramEnd"/>
      <w:r w:rsidRPr="0094457C">
        <w:rPr>
          <w:lang w:val="en-GB"/>
        </w:rPr>
        <w:t xml:space="preserve"> and infrastructure, rather than the functioning of people’s minds, bodies and senses.</w:t>
      </w:r>
    </w:p>
    <w:p w14:paraId="70420FB2" w14:textId="77777777" w:rsidR="0094457C" w:rsidRPr="0094457C" w:rsidRDefault="0094457C" w:rsidP="0094457C">
      <w:pPr>
        <w:rPr>
          <w:lang w:val="en-GB"/>
        </w:rPr>
      </w:pPr>
      <w:r w:rsidRPr="0094457C">
        <w:rPr>
          <w:lang w:val="en-GB"/>
        </w:rPr>
        <w:t xml:space="preserve">Every day, disabled people experience spatial and social injustices within our housing, streets, </w:t>
      </w:r>
      <w:proofErr w:type="gramStart"/>
      <w:r w:rsidRPr="0094457C">
        <w:rPr>
          <w:lang w:val="en-GB"/>
        </w:rPr>
        <w:t>towns</w:t>
      </w:r>
      <w:proofErr w:type="gramEnd"/>
      <w:r w:rsidRPr="0094457C">
        <w:rPr>
          <w:lang w:val="en-GB"/>
        </w:rPr>
        <w:t xml:space="preserve"> and cities. Taken-for-granted acts like going for a walk, seeing </w:t>
      </w:r>
      <w:proofErr w:type="gramStart"/>
      <w:r w:rsidRPr="0094457C">
        <w:rPr>
          <w:lang w:val="en-GB"/>
        </w:rPr>
        <w:t>friends</w:t>
      </w:r>
      <w:proofErr w:type="gramEnd"/>
      <w:r w:rsidRPr="0094457C">
        <w:rPr>
          <w:lang w:val="en-GB"/>
        </w:rPr>
        <w:t xml:space="preserve"> and using public transport are, for disabled people, </w:t>
      </w:r>
      <w:r w:rsidRPr="0094457C">
        <w:rPr>
          <w:lang w:val="en-GB"/>
        </w:rPr>
        <w:lastRenderedPageBreak/>
        <w:t xml:space="preserve">conditional or precluded acts due to exclusion by design. Spatial injustice is not only expressed through denying a disabled person the right to be in everyday spaces; it also operates through hegemonic social and economic systems that deny or constrain the use of socially valued resources, infrastructure and services that are part of the fabric of life, as evident in research and advocacy work overtime (Stafford, 2019). These types and levels of spatial and intersecting social injustices also persist despite the enactment of the United Nations Convention on the Rights of Persons with Disabilities in 2008, the explicit recognition of disability targets within the Sustainable Development Goals (SDGs) (United Nations, 2006; United Nations, Department of Economic and Social Affairs, Sustainable Development, </w:t>
      </w:r>
      <w:proofErr w:type="spellStart"/>
      <w:r w:rsidRPr="0094457C">
        <w:rPr>
          <w:lang w:val="en-GB"/>
        </w:rPr>
        <w:t>n.d</w:t>
      </w:r>
      <w:proofErr w:type="spellEnd"/>
      <w:r w:rsidRPr="0094457C">
        <w:rPr>
          <w:lang w:val="en-GB"/>
        </w:rPr>
        <w:t>) and key Australian policies, such as the National Disability Strategy (Policy 1, ‘Inclusive Accessible Communities’) and disability discrimination laws and standards since 1992.</w:t>
      </w:r>
    </w:p>
    <w:p w14:paraId="351C56D8" w14:textId="3F58A7FE" w:rsidR="004E4EAF" w:rsidRDefault="0094457C" w:rsidP="00315049">
      <w:pPr>
        <w:rPr>
          <w:rFonts w:ascii="Calibri" w:hAnsi="Calibri" w:cs="Calibri"/>
        </w:rPr>
      </w:pPr>
      <w:r w:rsidRPr="0094457C">
        <w:rPr>
          <w:lang w:val="en-GB"/>
        </w:rPr>
        <w:t xml:space="preserve">Now, more than ever, there is an opportunity for disabled people and urban and regional planning practitioners and researchers across various domains (e.g., strategic planning, infrastructure and transport planning, social planning, participatory planning, open </w:t>
      </w:r>
      <w:proofErr w:type="gramStart"/>
      <w:r w:rsidRPr="0094457C">
        <w:rPr>
          <w:lang w:val="en-GB"/>
        </w:rPr>
        <w:t>space</w:t>
      </w:r>
      <w:proofErr w:type="gramEnd"/>
      <w:r w:rsidRPr="0094457C">
        <w:rPr>
          <w:lang w:val="en-GB"/>
        </w:rPr>
        <w:t xml:space="preserve"> and urban design) to come together to address and advocate for inclusive, sustainable communities for all. This is vital for achieving the spatial justice that Soja (2009, p. 5) denoted as the ‘fair and equal distribution in space of socially valued resources and the opportunity to use them’. However, to achieve this, we first must critically question how well do we really consider human diversity in planning cities, </w:t>
      </w:r>
      <w:proofErr w:type="gramStart"/>
      <w:r w:rsidRPr="0094457C">
        <w:rPr>
          <w:lang w:val="en-GB"/>
        </w:rPr>
        <w:t>towns</w:t>
      </w:r>
      <w:proofErr w:type="gramEnd"/>
      <w:r w:rsidRPr="0094457C">
        <w:rPr>
          <w:lang w:val="en-GB"/>
        </w:rPr>
        <w:t xml:space="preserve"> and regions? Significant disruption in how we think about and approach the planning of our cities, towns and regions is required to address this growing social and spatial divide. In this briefing paper, this begins by confronting the entrenched challenges that perpetuate exclusion by design in everyday environments before providing fundamental starting points for planners in planning inclusive and just communities for all.</w:t>
      </w:r>
    </w:p>
    <w:p w14:paraId="22D97226" w14:textId="70E83267" w:rsidR="004E4EAF" w:rsidRPr="00020744" w:rsidRDefault="004E4EAF" w:rsidP="00463340">
      <w:pPr>
        <w:pStyle w:val="Heading2"/>
      </w:pPr>
      <w:r w:rsidRPr="00020744">
        <w:t>Why Planning for All Matters</w:t>
      </w:r>
    </w:p>
    <w:p w14:paraId="016DD326" w14:textId="77777777" w:rsidR="0094457C" w:rsidRDefault="0094457C" w:rsidP="0094457C">
      <w:r>
        <w:t xml:space="preserve">Humans are diverse—we are diverse in our bodies, emotions and thinking. In the Australian Bureau of Statistics (2019) 2018 Survey of Disability, Ageing and Carers (SDAC), one in five—or 4.4 million Australians—were reported having a disability, with another 22% identifying having long-term health conditions. </w:t>
      </w:r>
    </w:p>
    <w:p w14:paraId="6D4A139F" w14:textId="77777777" w:rsidR="0094457C" w:rsidRDefault="0094457C" w:rsidP="0094457C">
      <w:r>
        <w:t xml:space="preserve">Everyone will have an experience of disability over their lifetime—whether this is oneself, a family member, </w:t>
      </w:r>
      <w:proofErr w:type="gramStart"/>
      <w:r>
        <w:t>friend</w:t>
      </w:r>
      <w:proofErr w:type="gramEnd"/>
      <w:r>
        <w:t xml:space="preserve"> or colleague. Disabled people can be of any age, race, </w:t>
      </w:r>
      <w:proofErr w:type="gramStart"/>
      <w:r>
        <w:t>gender</w:t>
      </w:r>
      <w:proofErr w:type="gramEnd"/>
      <w:r>
        <w:t xml:space="preserve"> or class. Disabilities are visible, but largely invisible. Disability can also be episodic or temporary. Diversity of spatial needs can also be broadened to encompass different points over one’s life span; it can include the spatial needs of infants and young children, the temporary spatial needs of expectant mothers and the needs of older people, of whom one in two over the age of 65 years have a disability (Australian Bureau of Statistics, 2009).</w:t>
      </w:r>
    </w:p>
    <w:p w14:paraId="07B8CE11" w14:textId="4DDFAB28" w:rsidR="0094457C" w:rsidRDefault="0094457C" w:rsidP="0094457C">
      <w:r>
        <w:t>When we intentionally consider human diversity and the data, it is very clear that planning for all not only matters—it is demanded. However, planning and design practice has knowingly and unknowingly enacted the marginalisation and oppression of disabled people, due in part to the hidden prejudice of ableism and a ‘normative’ lens of the human body from which theory and practice operate. This is evident in discourse, service development and in new built environments, such as inaccessible public transport, housing and neighbourhoods, and public open spaces.</w:t>
      </w:r>
    </w:p>
    <w:p w14:paraId="2D97C540" w14:textId="77777777" w:rsidR="004E4EAF" w:rsidRPr="00020744" w:rsidRDefault="004E4EAF" w:rsidP="00463340">
      <w:pPr>
        <w:pStyle w:val="Heading2"/>
      </w:pPr>
      <w:r w:rsidRPr="00020744">
        <w:t>Confronting Ableism and the Normative Body Form</w:t>
      </w:r>
    </w:p>
    <w:p w14:paraId="384AE0DB" w14:textId="77777777" w:rsidR="0094457C" w:rsidRDefault="0094457C" w:rsidP="0094457C">
      <w:r w:rsidRPr="0094457C">
        <w:t>Disabled people are a very diverse group with various axes of difference and experience, yet a common oppression shared is ableism. According to Chouinard (1997), one of the earlier writers on ableism and</w:t>
      </w:r>
      <w:r>
        <w:t xml:space="preserve"> </w:t>
      </w:r>
      <w:proofErr w:type="gramStart"/>
      <w:r>
        <w:t>The</w:t>
      </w:r>
      <w:proofErr w:type="gramEnd"/>
      <w:r>
        <w:t xml:space="preserve"> </w:t>
      </w:r>
      <w:r>
        <w:lastRenderedPageBreak/>
        <w:t xml:space="preserve">‘normal body’ form that ableism embodies, and the beliefs, practices and process on which it is centred, is akin to what Garland-Thomson (2017, p.8) described as ‘the </w:t>
      </w:r>
      <w:proofErr w:type="spellStart"/>
      <w:r>
        <w:t>normate</w:t>
      </w:r>
      <w:proofErr w:type="spellEnd"/>
      <w:r>
        <w:t xml:space="preserve">’: ‘the social figure through which people can represent themselves as definitive human beings’. The </w:t>
      </w:r>
      <w:proofErr w:type="spellStart"/>
      <w:r>
        <w:t>normate</w:t>
      </w:r>
      <w:proofErr w:type="spellEnd"/>
      <w:r>
        <w:t xml:space="preserve"> is essentially male, white, young, </w:t>
      </w:r>
      <w:proofErr w:type="gramStart"/>
      <w:r>
        <w:t>heterosexual</w:t>
      </w:r>
      <w:proofErr w:type="gramEnd"/>
      <w:r>
        <w:t xml:space="preserve"> and able-bodied, as noted by Goffman in his early work in Stigma (Garland-Thomson, 2017) and as illustrated in Figure 1 (Stafford &amp; </w:t>
      </w:r>
      <w:proofErr w:type="spellStart"/>
      <w:r>
        <w:t>Voltz</w:t>
      </w:r>
      <w:proofErr w:type="spellEnd"/>
      <w:r>
        <w:t xml:space="preserve">, 2016). </w:t>
      </w:r>
    </w:p>
    <w:p w14:paraId="2BA0F226" w14:textId="77777777" w:rsidR="0094457C" w:rsidRDefault="0094457C" w:rsidP="0094457C">
      <w:r>
        <w:t xml:space="preserve">Despite not being remotely representative, this bodily form has been held up as the prototype for society and space, as evident in works like Charles-Édouard </w:t>
      </w:r>
      <w:proofErr w:type="spellStart"/>
      <w:r>
        <w:t>Jeanneret</w:t>
      </w:r>
      <w:proofErr w:type="spellEnd"/>
      <w:r>
        <w:t xml:space="preserve">-Gris’s (better known as Le Corbusier) ‘modular’ body of the 20th century and </w:t>
      </w:r>
      <w:proofErr w:type="spellStart"/>
      <w:r>
        <w:t>Neufert’s</w:t>
      </w:r>
      <w:proofErr w:type="spellEnd"/>
      <w:r>
        <w:t xml:space="preserve"> Metric Handbook for anthropometric data in the 21st century (Stafford &amp; </w:t>
      </w:r>
      <w:proofErr w:type="spellStart"/>
      <w:r>
        <w:t>Voltz</w:t>
      </w:r>
      <w:proofErr w:type="spellEnd"/>
      <w:r>
        <w:t xml:space="preserve">, 2016). This bodily form is also the basis around which everyday core social infrastructure, spaces and services are commonly planned and designed (Boys, 2014; Lid, 2016). Power in authority, status and space is afforded to the </w:t>
      </w:r>
      <w:proofErr w:type="spellStart"/>
      <w:r>
        <w:t>normate</w:t>
      </w:r>
      <w:proofErr w:type="spellEnd"/>
      <w:r>
        <w:t>, while non-normative bodies are subjugated and othered (Weiss, 2015; Weissman, 1992), the outcome being sustained social–spatial injustice and exclusion experienced by disabled people today despite the many decades of advocacy. From this standpoint, the exclusion of disabled people is understood to be socially produced.</w:t>
      </w:r>
    </w:p>
    <w:p w14:paraId="5876654F" w14:textId="77777777" w:rsidR="0094457C" w:rsidRDefault="0094457C" w:rsidP="0094457C">
      <w:r>
        <w:t>The other problem with ableism is that it is insidious in everyday life. It goes by largely unchecked (Goodley, 2014, Stafford, 2020), has not been given the same serious attention as other forms of discrimination like sexism and racism (</w:t>
      </w:r>
      <w:proofErr w:type="spellStart"/>
      <w:r>
        <w:t>Harpur</w:t>
      </w:r>
      <w:proofErr w:type="spellEnd"/>
      <w:r>
        <w:t>, 2009), and underpins socially produced spaces, infrastructure and services that exclude or overlook diversity (Gleeson, 2003; Imrie, 2003).</w:t>
      </w:r>
    </w:p>
    <w:p w14:paraId="1FFDA0D7" w14:textId="006923A0" w:rsidR="0094457C" w:rsidRDefault="0094457C" w:rsidP="00315049">
      <w:r>
        <w:t xml:space="preserve">As </w:t>
      </w:r>
      <w:proofErr w:type="spellStart"/>
      <w:r>
        <w:t>Harpur</w:t>
      </w:r>
      <w:proofErr w:type="spellEnd"/>
      <w:r>
        <w:t xml:space="preserve"> (2009, p. 167) notes, ‘if the term ableism became widely embraced then perhaps an act of ableist discrimination may eventually attract the negative social stigma currently associated with a racist or sexist act’.</w:t>
      </w:r>
    </w:p>
    <w:p w14:paraId="309192C4" w14:textId="727D8426" w:rsidR="0068417D" w:rsidRDefault="0068417D" w:rsidP="0068417D">
      <w:pPr>
        <w:pStyle w:val="APAFigH"/>
        <w:rPr>
          <w:b w:val="0"/>
          <w:bCs w:val="0"/>
        </w:rPr>
      </w:pPr>
      <w:r w:rsidRPr="003560F5">
        <w:rPr>
          <w:rStyle w:val="Heading3Char"/>
          <w:b/>
          <w:bCs/>
          <w:i w:val="0"/>
          <w:iCs w:val="0"/>
        </w:rPr>
        <w:t>Figure 1</w:t>
      </w:r>
      <w:r w:rsidRPr="003560F5">
        <w:rPr>
          <w:rStyle w:val="Heading3Char"/>
          <w:i w:val="0"/>
          <w:iCs w:val="0"/>
        </w:rPr>
        <w:br/>
      </w:r>
      <w:r w:rsidRPr="003560F5">
        <w:rPr>
          <w:b w:val="0"/>
          <w:bCs w:val="0"/>
          <w:i w:val="0"/>
          <w:iCs w:val="0"/>
        </w:rPr>
        <w:t>The Others – a representation of ableism playing out in everyday built environment</w:t>
      </w:r>
      <w:r w:rsidR="004219B6">
        <w:rPr>
          <w:b w:val="0"/>
          <w:bCs w:val="0"/>
          <w:i w:val="0"/>
          <w:iCs w:val="0"/>
        </w:rPr>
        <w:t xml:space="preserve"> (Stafford &amp;</w:t>
      </w:r>
      <w:r w:rsidR="00B21507">
        <w:rPr>
          <w:b w:val="0"/>
          <w:bCs w:val="0"/>
          <w:i w:val="0"/>
          <w:iCs w:val="0"/>
        </w:rPr>
        <w:t xml:space="preserve"> </w:t>
      </w:r>
      <w:proofErr w:type="spellStart"/>
      <w:r w:rsidR="004219B6">
        <w:rPr>
          <w:b w:val="0"/>
          <w:bCs w:val="0"/>
          <w:i w:val="0"/>
          <w:iCs w:val="0"/>
        </w:rPr>
        <w:t>Voltz</w:t>
      </w:r>
      <w:proofErr w:type="spellEnd"/>
      <w:r w:rsidR="004219B6">
        <w:rPr>
          <w:b w:val="0"/>
          <w:bCs w:val="0"/>
          <w:i w:val="0"/>
          <w:iCs w:val="0"/>
        </w:rPr>
        <w:t>, 2016 p.2)</w:t>
      </w:r>
      <w:r w:rsidRPr="003560F5">
        <w:rPr>
          <w:b w:val="0"/>
          <w:bCs w:val="0"/>
          <w:i w:val="0"/>
          <w:iCs w:val="0"/>
        </w:rPr>
        <w:t>.</w:t>
      </w:r>
      <w:r w:rsidRPr="00AC0C3E">
        <w:rPr>
          <w:b w:val="0"/>
          <w:bCs w:val="0"/>
        </w:rPr>
        <w:t xml:space="preserve"> </w:t>
      </w:r>
    </w:p>
    <w:p w14:paraId="49F2C52D" w14:textId="77777777" w:rsidR="0068417D" w:rsidRDefault="00086BC4" w:rsidP="003560F5">
      <w:pPr>
        <w:jc w:val="center"/>
      </w:pPr>
      <w:r w:rsidRPr="00820F9F">
        <w:rPr>
          <w:noProof/>
        </w:rPr>
        <w:drawing>
          <wp:inline distT="0" distB="0" distL="0" distR="0" wp14:anchorId="22650ACD" wp14:editId="47E25BC6">
            <wp:extent cx="2203554" cy="3141753"/>
            <wp:effectExtent l="0" t="0" r="0" b="0"/>
            <wp:docPr id="12" name="Picture 4" descr="Comparision of men in suits, lined up to enter a large work building. Compartively mothers, young children and disabiled people are seperated and do no enter the building.&#10;">
              <a:extLst xmlns:a="http://schemas.openxmlformats.org/drawingml/2006/main">
                <a:ext uri="{FF2B5EF4-FFF2-40B4-BE49-F238E27FC236}">
                  <a16:creationId xmlns:a16="http://schemas.microsoft.com/office/drawing/2014/main" id="{A692D208-3B1A-42E5-9AE5-A386D4F555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Comparision of men in suits, lined up to enter a large work building. Compartively mothers, young children and disabiled people are seperated and do no enter the building.&#10;">
                      <a:extLst>
                        <a:ext uri="{FF2B5EF4-FFF2-40B4-BE49-F238E27FC236}">
                          <a16:creationId xmlns:a16="http://schemas.microsoft.com/office/drawing/2014/main" id="{A692D208-3B1A-42E5-9AE5-A386D4F555A9}"/>
                        </a:ext>
                      </a:extLst>
                    </pic:cNvPr>
                    <pic:cNvPicPr>
                      <a:picLocks noChangeAspect="1"/>
                    </pic:cNvPicPr>
                  </pic:nvPicPr>
                  <pic:blipFill rotWithShape="1">
                    <a:blip r:embed="rId7">
                      <a:extLst>
                        <a:ext uri="{28A0092B-C50C-407E-A947-70E740481C1C}">
                          <a14:useLocalDpi xmlns:a14="http://schemas.microsoft.com/office/drawing/2010/main" val="0"/>
                        </a:ext>
                      </a:extLst>
                    </a:blip>
                    <a:srcRect l="12658" t="9337" r="7550" b="8698"/>
                    <a:stretch/>
                  </pic:blipFill>
                  <pic:spPr bwMode="auto">
                    <a:xfrm>
                      <a:off x="0" y="0"/>
                      <a:ext cx="2207144" cy="3146872"/>
                    </a:xfrm>
                    <a:prstGeom prst="rect">
                      <a:avLst/>
                    </a:prstGeom>
                    <a:ln>
                      <a:noFill/>
                    </a:ln>
                    <a:extLst>
                      <a:ext uri="{53640926-AAD7-44D8-BBD7-CCE9431645EC}">
                        <a14:shadowObscured xmlns:a14="http://schemas.microsoft.com/office/drawing/2010/main"/>
                      </a:ext>
                    </a:extLst>
                  </pic:spPr>
                </pic:pic>
              </a:graphicData>
            </a:graphic>
          </wp:inline>
        </w:drawing>
      </w:r>
    </w:p>
    <w:p w14:paraId="596D9427" w14:textId="77777777" w:rsidR="000E44DC" w:rsidRPr="00020744" w:rsidRDefault="000E44DC" w:rsidP="00463340">
      <w:pPr>
        <w:pStyle w:val="Heading2"/>
      </w:pPr>
      <w:r w:rsidRPr="00020744">
        <w:t>The Vanishing of the Social in Planning</w:t>
      </w:r>
    </w:p>
    <w:p w14:paraId="5B8299BD" w14:textId="77777777" w:rsidR="0094457C" w:rsidRDefault="0094457C" w:rsidP="0094457C">
      <w:r>
        <w:t xml:space="preserve">Planning socially just spaces is not a concept new to planning (Harvey, 2009); however, over the past decades, the importance of the social aspect of planning has eroded as priorities have shifted to new urbanism, </w:t>
      </w:r>
      <w:r>
        <w:lastRenderedPageBreak/>
        <w:t xml:space="preserve">economic </w:t>
      </w:r>
      <w:proofErr w:type="gramStart"/>
      <w:r>
        <w:t>growth</w:t>
      </w:r>
      <w:proofErr w:type="gramEnd"/>
      <w:r>
        <w:t xml:space="preserve"> and technical rational practice (Thompson, 2012; </w:t>
      </w:r>
      <w:proofErr w:type="spellStart"/>
      <w:r>
        <w:t>Vavik</w:t>
      </w:r>
      <w:proofErr w:type="spellEnd"/>
      <w:r>
        <w:t xml:space="preserve"> &amp; </w:t>
      </w:r>
      <w:proofErr w:type="spellStart"/>
      <w:r>
        <w:t>Keitsch</w:t>
      </w:r>
      <w:proofErr w:type="spellEnd"/>
      <w:r>
        <w:t>, 2010). This demise has been evident in the erosion of funding for social and community planning positions and activities over time, and the reduction in the scope of work for technical roles in statutory social impact assessments in development assessment and strategic planning (Gleeson &amp; Steele, 2010). The loss of the social has also meant that there is now a varying positionality and understanding of social inclusion and social justice by (town, social and community) planners (</w:t>
      </w:r>
      <w:proofErr w:type="spellStart"/>
      <w:r>
        <w:t>Shevellar</w:t>
      </w:r>
      <w:proofErr w:type="spellEnd"/>
      <w:r>
        <w:t xml:space="preserve"> &amp; Lyons, 2015) as well as reported differences in how planners see their role in planning for disability inclusion (</w:t>
      </w:r>
      <w:proofErr w:type="spellStart"/>
      <w:r>
        <w:t>Vavik</w:t>
      </w:r>
      <w:proofErr w:type="spellEnd"/>
      <w:r>
        <w:t xml:space="preserve"> &amp; </w:t>
      </w:r>
      <w:proofErr w:type="spellStart"/>
      <w:r>
        <w:t>Keitsch</w:t>
      </w:r>
      <w:proofErr w:type="spellEnd"/>
      <w:r>
        <w:t xml:space="preserve">, 2010). Adding to this problem is the variation at the local government level in resourcing and knowledge of social and community planning (Stafford &amp; Baldwin, 2018). </w:t>
      </w:r>
      <w:proofErr w:type="gramStart"/>
      <w:r>
        <w:t>All of</w:t>
      </w:r>
      <w:proofErr w:type="gramEnd"/>
      <w:r>
        <w:t xml:space="preserve"> these issues have a profound effect on the intensification of spatial social exclusion.</w:t>
      </w:r>
    </w:p>
    <w:p w14:paraId="7F1FE43C" w14:textId="4436A8E2" w:rsidR="0094457C" w:rsidRDefault="0094457C" w:rsidP="0094457C">
      <w:r>
        <w:t>Social planning is key for driving inclusive communities. It operates from a justice framework and from</w:t>
      </w:r>
      <w:r w:rsidRPr="0094457C">
        <w:t xml:space="preserve"> </w:t>
      </w:r>
      <w:r w:rsidRPr="0094457C">
        <w:t xml:space="preserve">participatory planning processes aimed at generating collaborative analyses and solutions at the local level in urban and regional planning contexts (Hope &amp; </w:t>
      </w:r>
      <w:proofErr w:type="spellStart"/>
      <w:r w:rsidRPr="0094457C">
        <w:t>Timmel</w:t>
      </w:r>
      <w:proofErr w:type="spellEnd"/>
      <w:r w:rsidRPr="0094457C">
        <w:t>, 2014). While there has been renewed focus on the social in planning, particularly hastened through the COVID-19 pandemic experience, there are concerns with implementation, given the eroded knowledge, practices and positions of social community planning over time (Baldwin &amp; Stafford, 2019). Examples such as compliance-based strategic planning—like mandatory inclusion strategies and disability action plans done quickly without disrupting ableism—can serve as nothing more than token exercises that uphold spatial injustices and keep ableism unchecked. Social planning is much more than just putting a ramp to a building or developing a document—it is an attitude.</w:t>
      </w:r>
    </w:p>
    <w:p w14:paraId="6B710A79" w14:textId="77777777" w:rsidR="009410C8" w:rsidRPr="009410C8" w:rsidRDefault="009410C8" w:rsidP="00463340">
      <w:pPr>
        <w:pStyle w:val="Heading2"/>
      </w:pPr>
      <w:r w:rsidRPr="009410C8">
        <w:t>The Way Forward: Planning for All</w:t>
      </w:r>
    </w:p>
    <w:p w14:paraId="6AABB41F" w14:textId="3BAD2C0D" w:rsidR="009410C8" w:rsidRDefault="0094457C" w:rsidP="00315049">
      <w:r w:rsidRPr="0094457C">
        <w:t>Despite everyday spaces and infrastructure being places of exclusion for disabled people, the good news is that because space is socially produced, it can be changed. (Soja, 2008).  Planners are in a unique and powerful position where they can be part of social change by adjusting their thinking and approach even in the most hostile technocratic and neoliberal environments. From examples of research and planning practice both locally and globally, there are some key fundamental starting points for planners in making the paradigm shift towards planning for all.</w:t>
      </w:r>
    </w:p>
    <w:p w14:paraId="7DD11AEE" w14:textId="77777777" w:rsidR="0027273D" w:rsidRDefault="009410C8" w:rsidP="00315049">
      <w:pPr>
        <w:rPr>
          <w:color w:val="365F91"/>
        </w:rPr>
      </w:pPr>
      <w:r w:rsidRPr="009410C8">
        <w:rPr>
          <w:rStyle w:val="Heading3Char"/>
        </w:rPr>
        <w:t>1. Adopt an approach of planning for all.</w:t>
      </w:r>
      <w:r w:rsidRPr="00020744">
        <w:rPr>
          <w:color w:val="365F91"/>
        </w:rPr>
        <w:t xml:space="preserve"> </w:t>
      </w:r>
    </w:p>
    <w:p w14:paraId="68DFB819" w14:textId="4B086924" w:rsidR="0027273D" w:rsidRPr="00A16C07" w:rsidRDefault="0094457C" w:rsidP="00315049">
      <w:pPr>
        <w:rPr>
          <w:rFonts w:cstheme="minorHAnsi"/>
          <w:color w:val="000000" w:themeColor="text1"/>
        </w:rPr>
      </w:pPr>
      <w:r w:rsidRPr="0094457C">
        <w:t xml:space="preserve">As the data clearly shows, planners must genuinely see disability as a natural part of humankind and embrace human diversity as the baseline for planning our cities, </w:t>
      </w:r>
      <w:proofErr w:type="gramStart"/>
      <w:r w:rsidRPr="0094457C">
        <w:t>towns</w:t>
      </w:r>
      <w:proofErr w:type="gramEnd"/>
      <w:r w:rsidRPr="0094457C">
        <w:t xml:space="preserve"> and regions. This means valuing our diversity, as Young (1990, p. 47) noted, ‘social justice … requires not the melting away of differences, but institutions that promote reproduction of and respect for group differences without oppression’.   Planners can do this </w:t>
      </w:r>
      <w:proofErr w:type="gramStart"/>
      <w:r w:rsidRPr="0094457C">
        <w:t>by  intentionally</w:t>
      </w:r>
      <w:proofErr w:type="gramEnd"/>
      <w:r w:rsidRPr="0094457C">
        <w:t xml:space="preserve"> questioning and disrupting the current ableist ‘standardisation’ approach to instead using a pragmatic just approach by asking the question, ‘who are we planning for—diversity in disability, age, ethnicities, incomes, genders etc.?</w:t>
      </w:r>
    </w:p>
    <w:p w14:paraId="582A0651" w14:textId="1D183D85" w:rsidR="009410C8" w:rsidRPr="00020744" w:rsidRDefault="0027273D" w:rsidP="00463340">
      <w:pPr>
        <w:pStyle w:val="Heading3"/>
        <w:rPr>
          <w:color w:val="000000" w:themeColor="text1" w:themeShade="1A"/>
        </w:rPr>
      </w:pPr>
      <w:r w:rsidRPr="00020744">
        <w:t>2. Apply spatial justice thinking to planning.</w:t>
      </w:r>
    </w:p>
    <w:p w14:paraId="17F9EF8D" w14:textId="48A33FBA" w:rsidR="00A31EFB" w:rsidRDefault="0094457C" w:rsidP="00315049">
      <w:r w:rsidRPr="0094457C">
        <w:t xml:space="preserve">Foregrounding the spatial in social justice is important to help improve our knowledge, as well as to help eliminate exclusion encountered by disabled people in everyday environments, through more responsive and transformative practices and actions (Soja, 2010). This includes identifying social, </w:t>
      </w:r>
      <w:proofErr w:type="gramStart"/>
      <w:r w:rsidRPr="0094457C">
        <w:t>cultural</w:t>
      </w:r>
      <w:proofErr w:type="gramEnd"/>
      <w:r w:rsidRPr="0094457C">
        <w:t xml:space="preserve"> and structural processes and practices, mediated spatially, that create and maintain experiences of exclusion or inclusion (Stafford &amp; </w:t>
      </w:r>
      <w:proofErr w:type="spellStart"/>
      <w:r w:rsidRPr="0094457C">
        <w:t>Voltz</w:t>
      </w:r>
      <w:proofErr w:type="spellEnd"/>
      <w:r w:rsidRPr="0094457C">
        <w:t xml:space="preserve">, 2016). Applied locally, a spatial justice perspective can also help to connect threats to justice </w:t>
      </w:r>
      <w:r w:rsidRPr="0094457C">
        <w:lastRenderedPageBreak/>
        <w:t xml:space="preserve">occurring in place that are often viewed and managed as siloed service systems like housing, health, employment and economic development, and transport. By connecting rights and threats to justice spatially, we can, as Bailey, </w:t>
      </w:r>
      <w:proofErr w:type="spellStart"/>
      <w:r w:rsidRPr="0094457C">
        <w:t>Lobenstine</w:t>
      </w:r>
      <w:proofErr w:type="spellEnd"/>
      <w:r w:rsidRPr="0094457C">
        <w:t xml:space="preserve"> and Nagel (2012, p.3) noted, ‘allow for a more scale-able and organized response’. This can be critically helpful for planners, as one of the problems to date has been little synthesis of initiatives and policies across service areas/divisions, along with difficulties in translating policy into practice (Baldwin &amp; Stafford, 2019; Stafford &amp; Baldwin, 2015).</w:t>
      </w:r>
    </w:p>
    <w:p w14:paraId="40AC455E" w14:textId="77777777" w:rsidR="00277FBD" w:rsidRDefault="00277FBD" w:rsidP="00463340">
      <w:pPr>
        <w:pStyle w:val="Heading3"/>
      </w:pPr>
      <w:r w:rsidRPr="00020744">
        <w:t xml:space="preserve">3. Embed universal design (UD) as a core planning principle and integrate with smart growth strategies. </w:t>
      </w:r>
    </w:p>
    <w:p w14:paraId="0681DDF0" w14:textId="2CEF5C8E" w:rsidR="00277FBD" w:rsidRPr="00277FBD" w:rsidRDefault="0094457C" w:rsidP="00315049">
      <w:r w:rsidRPr="0094457C">
        <w:t xml:space="preserve">UD, first conceived by Mace (2019) in 1997, is an approach and attitude to planning and design centred on the equity of spaces, </w:t>
      </w:r>
      <w:proofErr w:type="gramStart"/>
      <w:r w:rsidRPr="0094457C">
        <w:t>infrastructure</w:t>
      </w:r>
      <w:proofErr w:type="gramEnd"/>
      <w:r w:rsidRPr="0094457C">
        <w:t xml:space="preserve"> and services from the onset without reliance on adaptation of specialised design. Despite its </w:t>
      </w:r>
      <w:proofErr w:type="spellStart"/>
      <w:r w:rsidRPr="0094457C">
        <w:t>commonsense</w:t>
      </w:r>
      <w:proofErr w:type="spellEnd"/>
      <w:r w:rsidRPr="0094457C">
        <w:t xml:space="preserve"> approach and wide applicability, UD has not been embraced by the Australian planning profession well (Stafford &amp; Baldwin, 2015). UD is mostly non-existent in urban planning and design pedagogy (Harrison et al., 2015; Hockey et al., 2013); there is little evidence of its application in policy- and decision-making processes, including participatory planning and place-making; and it is haphazardly applied in social infrastructure planning, including street design (</w:t>
      </w:r>
      <w:proofErr w:type="spellStart"/>
      <w:r w:rsidRPr="0094457C">
        <w:t>Heylighen</w:t>
      </w:r>
      <w:proofErr w:type="spellEnd"/>
      <w:r w:rsidRPr="0094457C">
        <w:t xml:space="preserve">, 2008) and transport (Burdett &amp; Pomeroy, 2011). However, good examples of the benefits of UD in planning exist. UD has been modelled in Norway since 1997 when it was adopted as a planning strategy for local communities, characterised by ‘adequate accessibility, equality, participation and free choice for all’ (Ministry of the Environment (Norway), 2009, p.8). In 2005, 17 Norwegian municipalities have participated in a project to translate this concept into action (Lid, 2016; Ministry of the Environment (Norway), 2009).  UD also works seamlessly with smart growth strategies to achieve more sustainable, liveable towns, </w:t>
      </w:r>
      <w:proofErr w:type="gramStart"/>
      <w:r w:rsidRPr="0094457C">
        <w:t>regions</w:t>
      </w:r>
      <w:proofErr w:type="gramEnd"/>
      <w:r w:rsidRPr="0094457C">
        <w:t xml:space="preserve"> and cities, as shown in the 2012 American Planning Association’s (2011) Multigenerational Planning Strategy. Using UD together with smart growth links the needs of different ages and abilities to ‘improve the liveability of homes and </w:t>
      </w:r>
      <w:proofErr w:type="spellStart"/>
      <w:r w:rsidRPr="0094457C">
        <w:t>neighborhoods</w:t>
      </w:r>
      <w:proofErr w:type="spellEnd"/>
      <w:r w:rsidRPr="0094457C">
        <w:t>, not only for the elderly and the disabled, but for every member of the community’ (American Planning Association, 2011, p.11) (emphasis in original).</w:t>
      </w:r>
    </w:p>
    <w:p w14:paraId="2A7CBC97" w14:textId="77777777" w:rsidR="00277FBD" w:rsidRDefault="00277FBD" w:rsidP="00463340">
      <w:pPr>
        <w:pStyle w:val="Heading3"/>
      </w:pPr>
      <w:r w:rsidRPr="00020744">
        <w:t xml:space="preserve">4. Re-emphasising the social in planning. </w:t>
      </w:r>
    </w:p>
    <w:p w14:paraId="3EEC1C98" w14:textId="37E97D2A" w:rsidR="00277FBD" w:rsidRPr="001F435C" w:rsidRDefault="0094457C" w:rsidP="00315049">
      <w:r w:rsidRPr="0094457C">
        <w:t xml:space="preserve">Doing inclusive planning has the potential to influence and impact the lives of people and communities as well as, importantly, contribute to social change. Social planning is well positioned to help address factors known to be linked to liveability that are currently points of exclusion, such as access to services, a sense of safety, the cost of living, health, mobility and transport, air quality and social participation (Baldwin &amp; Stafford, 2019; </w:t>
      </w:r>
      <w:proofErr w:type="spellStart"/>
      <w:r w:rsidRPr="0094457C">
        <w:t>Howely</w:t>
      </w:r>
      <w:proofErr w:type="spellEnd"/>
      <w:r w:rsidRPr="0094457C">
        <w:t xml:space="preserve"> et al., 2009).  However, realising its potential requires a strong reinvestment in social planning—this is needed from pedagogy and approaches (e.g., in education, in planning processes and practice) through to on-the-ground jobs.</w:t>
      </w:r>
    </w:p>
    <w:p w14:paraId="6BDE758E" w14:textId="77777777" w:rsidR="00277FBD" w:rsidRPr="00277FBD" w:rsidRDefault="00277FBD" w:rsidP="00463340">
      <w:pPr>
        <w:pStyle w:val="Heading2"/>
      </w:pPr>
      <w:r w:rsidRPr="00277FBD">
        <w:t xml:space="preserve">The Time to Act is Now </w:t>
      </w:r>
    </w:p>
    <w:p w14:paraId="63D076A7" w14:textId="117B30A9" w:rsidR="006C5478" w:rsidRPr="00020744" w:rsidRDefault="0094457C" w:rsidP="006C5478">
      <w:r w:rsidRPr="0094457C">
        <w:t xml:space="preserve">There is a significant opportunity to plan inclusively with renewed attention towards social and spatial justice in urban and regional planning globally. This is due to a number of factors, such as the recent events of the COVID-19 pandemic, the mounting evidence that poorly planned communities can have significant impacts on human and multi-species  wellbeing, environmental degradation35,39, along with the growing segregation of marginalised communities, particularly disabled people2,40,41. This shift has also been aided by supranational </w:t>
      </w:r>
      <w:r w:rsidRPr="0094457C">
        <w:lastRenderedPageBreak/>
        <w:t xml:space="preserve">agendas like the United Nations Habitat III, launched in 2016 42; SDG’s such as Goal 114, Sustainable Cities and Communities; as well as Australian policies such as the current development of the Beyond 2020 National Disability Strategy. Given the wide endorsement of planning just communities both in Australia and internationally, there is a real opportunity now for planners, </w:t>
      </w:r>
      <w:proofErr w:type="gramStart"/>
      <w:r w:rsidRPr="0094457C">
        <w:t>researchers</w:t>
      </w:r>
      <w:proofErr w:type="gramEnd"/>
      <w:r w:rsidRPr="0094457C">
        <w:t xml:space="preserve"> and disabled people to work together to transform knowledge and practice to make inclusive cities, regions and communities an everyday reality.</w:t>
      </w:r>
    </w:p>
    <w:p w14:paraId="17E8C7C0" w14:textId="55BB86F2" w:rsidR="0094457C" w:rsidRDefault="0094457C" w:rsidP="006C5478">
      <w:pPr>
        <w:pStyle w:val="Heading2"/>
      </w:pPr>
      <w:r>
        <w:t>References</w:t>
      </w:r>
    </w:p>
    <w:p w14:paraId="47A002F7" w14:textId="77777777" w:rsidR="0094457C" w:rsidRPr="0094457C" w:rsidRDefault="0094457C" w:rsidP="0094457C">
      <w:pPr>
        <w:rPr>
          <w:i/>
          <w:iCs/>
        </w:rPr>
      </w:pPr>
      <w:r w:rsidRPr="0094457C">
        <w:t xml:space="preserve">American Planning Association. (2011) </w:t>
      </w:r>
      <w:r w:rsidRPr="0094457C">
        <w:rPr>
          <w:i/>
          <w:iCs/>
        </w:rPr>
        <w:t>Multigenerational planning: using smart growth and universal design to link the needs of children and the aging population</w:t>
      </w:r>
    </w:p>
    <w:p w14:paraId="609EABE0" w14:textId="77777777" w:rsidR="0094457C" w:rsidRPr="0094457C" w:rsidRDefault="0094457C" w:rsidP="0094457C">
      <w:r w:rsidRPr="0094457C">
        <w:t xml:space="preserve">(Family friendly briefing papers 02). Chicago: American Planning Association. </w:t>
      </w:r>
    </w:p>
    <w:p w14:paraId="42348AAA" w14:textId="2A2C36A6" w:rsidR="0094457C" w:rsidRPr="0094457C" w:rsidRDefault="00CA7E0C" w:rsidP="0094457C">
      <w:pPr>
        <w:rPr>
          <w:rStyle w:val="Hyperlink"/>
        </w:rPr>
      </w:pPr>
      <w:r>
        <w:fldChar w:fldCharType="begin"/>
      </w:r>
      <w:r>
        <w:instrText xml:space="preserve"> HYPERLINK "https://planning-org-uploaded-media.s3.amazonaws.com/publication/download_pdf/Using-Smart-" </w:instrText>
      </w:r>
      <w:r>
        <w:fldChar w:fldCharType="separate"/>
      </w:r>
      <w:r w:rsidR="0094457C" w:rsidRPr="0094457C">
        <w:rPr>
          <w:rStyle w:val="Hyperlink"/>
        </w:rPr>
        <w:t>https://planning-org-uploaded-media.s3.amazonaws.com/publication/download_pdf/Using-Smart-</w:t>
      </w:r>
    </w:p>
    <w:p w14:paraId="74B870E0" w14:textId="0484EFF7" w:rsidR="0094457C" w:rsidRPr="0094457C" w:rsidRDefault="0094457C" w:rsidP="0094457C">
      <w:r w:rsidRPr="0094457C">
        <w:rPr>
          <w:rStyle w:val="Hyperlink"/>
        </w:rPr>
        <w:t xml:space="preserve">Growth-to-Link-Children-and-Aging.pdf  </w:t>
      </w:r>
      <w:r w:rsidR="00CA7E0C">
        <w:fldChar w:fldCharType="end"/>
      </w:r>
      <w:r w:rsidRPr="0094457C">
        <w:t xml:space="preserve"> </w:t>
      </w:r>
    </w:p>
    <w:p w14:paraId="62CF2866" w14:textId="77777777" w:rsidR="0094457C" w:rsidRPr="0094457C" w:rsidRDefault="0094457C" w:rsidP="0094457C">
      <w:r w:rsidRPr="0094457C">
        <w:t xml:space="preserve">Australian Bureau of Statistics. (2019, October 24). </w:t>
      </w:r>
      <w:r w:rsidRPr="0094457C">
        <w:rPr>
          <w:i/>
          <w:iCs/>
        </w:rPr>
        <w:t>Disability, Ageing and Carers, Australia: Summary of Findings</w:t>
      </w:r>
      <w:r w:rsidRPr="0094457C">
        <w:t xml:space="preserve">. Australian Bureau of Statistics. </w:t>
      </w:r>
    </w:p>
    <w:p w14:paraId="404DC7F7" w14:textId="77777777" w:rsidR="0094457C" w:rsidRPr="0094457C" w:rsidRDefault="0094457C" w:rsidP="0094457C">
      <w:hyperlink r:id="rId8" w:history="1">
        <w:r w:rsidRPr="0094457C">
          <w:rPr>
            <w:rStyle w:val="Hyperlink"/>
          </w:rPr>
          <w:t>https://www.abs.gov.au/statistics/health/disability/disability-ageing-and-carers-australia-summary-findings/latest-release</w:t>
        </w:r>
      </w:hyperlink>
    </w:p>
    <w:p w14:paraId="02FD32B0" w14:textId="77777777" w:rsidR="0094457C" w:rsidRPr="0094457C" w:rsidRDefault="0094457C" w:rsidP="0094457C">
      <w:r w:rsidRPr="0094457C">
        <w:t xml:space="preserve">Bailey, K., </w:t>
      </w:r>
      <w:proofErr w:type="spellStart"/>
      <w:r w:rsidRPr="0094457C">
        <w:t>Lobenstine</w:t>
      </w:r>
      <w:proofErr w:type="spellEnd"/>
      <w:r w:rsidRPr="0094457C">
        <w:t>, L., Nagel, K. (2012).</w:t>
      </w:r>
      <w:r w:rsidRPr="0094457C">
        <w:rPr>
          <w:i/>
          <w:iCs/>
        </w:rPr>
        <w:t xml:space="preserve"> Spatial justice: a frame for reclaiming our rights to be, thrive, </w:t>
      </w:r>
      <w:proofErr w:type="gramStart"/>
      <w:r w:rsidRPr="0094457C">
        <w:rPr>
          <w:i/>
          <w:iCs/>
        </w:rPr>
        <w:t>express</w:t>
      </w:r>
      <w:proofErr w:type="gramEnd"/>
      <w:r w:rsidRPr="0094457C">
        <w:rPr>
          <w:i/>
          <w:iCs/>
        </w:rPr>
        <w:t xml:space="preserve"> and connect</w:t>
      </w:r>
      <w:r w:rsidRPr="0094457C">
        <w:t xml:space="preserve">. Dorchester (MA): Design Studio for </w:t>
      </w:r>
    </w:p>
    <w:p w14:paraId="468E4940" w14:textId="77777777" w:rsidR="0094457C" w:rsidRPr="0094457C" w:rsidRDefault="0094457C" w:rsidP="0094457C">
      <w:pPr>
        <w:rPr>
          <w:u w:val="single"/>
        </w:rPr>
      </w:pPr>
      <w:r w:rsidRPr="0094457C">
        <w:t xml:space="preserve">Social Intervention. </w:t>
      </w:r>
      <w:hyperlink r:id="rId9" w:history="1">
        <w:r w:rsidRPr="0094457C">
          <w:rPr>
            <w:rStyle w:val="Hyperlink"/>
          </w:rPr>
          <w:t>https://www.ds4si.org/blog/2012/1/23/spatial-justice-a-frame-for-reclaiming-our-rights-to-be-thri.html</w:t>
        </w:r>
      </w:hyperlink>
    </w:p>
    <w:p w14:paraId="5B9D08BF" w14:textId="77777777" w:rsidR="0094457C" w:rsidRPr="0094457C" w:rsidRDefault="0094457C" w:rsidP="0094457C">
      <w:pPr>
        <w:rPr>
          <w:i/>
          <w:iCs/>
        </w:rPr>
      </w:pPr>
      <w:r w:rsidRPr="0094457C">
        <w:t xml:space="preserve">Baldwin, C., &amp; Stafford, L. (2019). The role of social infrastructure in achieving inclusive liveable communities: Voices from regional Australia. </w:t>
      </w:r>
      <w:r w:rsidRPr="0094457C">
        <w:rPr>
          <w:i/>
          <w:iCs/>
        </w:rPr>
        <w:t xml:space="preserve">Planning Practice &amp; </w:t>
      </w:r>
    </w:p>
    <w:p w14:paraId="326578D4" w14:textId="77777777" w:rsidR="0094457C" w:rsidRPr="0094457C" w:rsidRDefault="0094457C" w:rsidP="0094457C">
      <w:pPr>
        <w:rPr>
          <w:u w:val="single"/>
        </w:rPr>
      </w:pPr>
      <w:r w:rsidRPr="0094457C">
        <w:rPr>
          <w:i/>
          <w:iCs/>
        </w:rPr>
        <w:t>Research</w:t>
      </w:r>
      <w:r w:rsidRPr="0094457C">
        <w:t xml:space="preserve">, </w:t>
      </w:r>
      <w:r w:rsidRPr="0094457C">
        <w:rPr>
          <w:i/>
          <w:iCs/>
        </w:rPr>
        <w:t>34</w:t>
      </w:r>
      <w:r w:rsidRPr="0094457C">
        <w:t xml:space="preserve">(1), 18–46. </w:t>
      </w:r>
      <w:hyperlink r:id="rId10" w:history="1">
        <w:r w:rsidRPr="0094457C">
          <w:rPr>
            <w:rStyle w:val="Hyperlink"/>
          </w:rPr>
          <w:t>https://doi.org/10.1080/02697459.2018.1548217</w:t>
        </w:r>
      </w:hyperlink>
    </w:p>
    <w:p w14:paraId="79D93700" w14:textId="77777777" w:rsidR="0094457C" w:rsidRPr="0094457C" w:rsidRDefault="0094457C" w:rsidP="0094457C">
      <w:proofErr w:type="spellStart"/>
      <w:r w:rsidRPr="0094457C">
        <w:t>Bezmes</w:t>
      </w:r>
      <w:proofErr w:type="spellEnd"/>
      <w:r w:rsidRPr="0094457C">
        <w:t xml:space="preserve">, D. (2013). Urban citizenship, the right to the city and politics of disability in Istanbul. </w:t>
      </w:r>
      <w:r w:rsidRPr="0094457C">
        <w:rPr>
          <w:i/>
          <w:iCs/>
        </w:rPr>
        <w:t>International Journal of Urban and Regional Research</w:t>
      </w:r>
      <w:r w:rsidRPr="0094457C">
        <w:t xml:space="preserve">, </w:t>
      </w:r>
      <w:r w:rsidRPr="0094457C">
        <w:rPr>
          <w:i/>
          <w:iCs/>
        </w:rPr>
        <w:t>37</w:t>
      </w:r>
      <w:r w:rsidRPr="0094457C">
        <w:t>(1), 93–114.</w:t>
      </w:r>
    </w:p>
    <w:p w14:paraId="1D2000F9" w14:textId="4A976E90" w:rsidR="0094457C" w:rsidRPr="0094457C" w:rsidRDefault="00CA7E0C" w:rsidP="0094457C">
      <w:hyperlink r:id="rId11" w:history="1">
        <w:r w:rsidR="0094457C" w:rsidRPr="0094457C">
          <w:rPr>
            <w:rStyle w:val="Hyperlink"/>
          </w:rPr>
          <w:t>https://doi.org/10.1111/j.1468-2427.2012.01190.x</w:t>
        </w:r>
      </w:hyperlink>
    </w:p>
    <w:p w14:paraId="6FD2219A" w14:textId="77777777" w:rsidR="0094457C" w:rsidRPr="0094457C" w:rsidRDefault="0094457C" w:rsidP="0094457C">
      <w:r w:rsidRPr="0094457C">
        <w:t xml:space="preserve">Burdett, B., &amp; Pomeroy, G. (2011). </w:t>
      </w:r>
      <w:r w:rsidRPr="0094457C">
        <w:rPr>
          <w:i/>
          <w:iCs/>
        </w:rPr>
        <w:t xml:space="preserve">Design for disabled road users: </w:t>
      </w:r>
      <w:proofErr w:type="gramStart"/>
      <w:r w:rsidRPr="0094457C">
        <w:rPr>
          <w:i/>
          <w:iCs/>
        </w:rPr>
        <w:t>it’s</w:t>
      </w:r>
      <w:proofErr w:type="gramEnd"/>
      <w:r w:rsidRPr="0094457C">
        <w:rPr>
          <w:i/>
          <w:iCs/>
        </w:rPr>
        <w:t xml:space="preserve"> time to up our game </w:t>
      </w:r>
      <w:r w:rsidRPr="0094457C">
        <w:t xml:space="preserve">[Conference Paper]. IPENZ Transportation Group Conference, Auckland, </w:t>
      </w:r>
    </w:p>
    <w:p w14:paraId="6B600648" w14:textId="02C07BF8" w:rsidR="0094457C" w:rsidRPr="0094457C" w:rsidRDefault="0094457C" w:rsidP="0094457C">
      <w:r w:rsidRPr="0094457C">
        <w:t xml:space="preserve">New Zealand. </w:t>
      </w:r>
      <w:hyperlink r:id="rId12" w:history="1">
        <w:r w:rsidRPr="0094457C">
          <w:rPr>
            <w:rStyle w:val="Hyperlink"/>
          </w:rPr>
          <w:t>http://archive.hardingconsultants.co.nz/ipenz2011/downloads/Burdett__Bridget.pdf</w:t>
        </w:r>
      </w:hyperlink>
    </w:p>
    <w:p w14:paraId="5DDDE361" w14:textId="77777777" w:rsidR="0094457C" w:rsidRPr="0094457C" w:rsidRDefault="0094457C" w:rsidP="0094457C">
      <w:r w:rsidRPr="0094457C">
        <w:t xml:space="preserve">Boys, J. (2014). </w:t>
      </w:r>
      <w:r w:rsidRPr="0094457C">
        <w:rPr>
          <w:i/>
          <w:iCs/>
        </w:rPr>
        <w:t>Doing disability differently: an alternative handbook on architecture, dis/ability and designing for everyday life</w:t>
      </w:r>
      <w:r w:rsidRPr="0094457C">
        <w:t>. Routledge.</w:t>
      </w:r>
    </w:p>
    <w:p w14:paraId="2468D762" w14:textId="77777777" w:rsidR="0094457C" w:rsidRPr="0094457C" w:rsidRDefault="0094457C" w:rsidP="0094457C">
      <w:r w:rsidRPr="0094457C">
        <w:t xml:space="preserve">Campbell, F. K. (2009). </w:t>
      </w:r>
      <w:r w:rsidRPr="0094457C">
        <w:rPr>
          <w:i/>
          <w:iCs/>
        </w:rPr>
        <w:t xml:space="preserve">Contours of ableism: the production of disability and </w:t>
      </w:r>
      <w:proofErr w:type="spellStart"/>
      <w:r w:rsidRPr="0094457C">
        <w:rPr>
          <w:i/>
          <w:iCs/>
        </w:rPr>
        <w:t>abledness</w:t>
      </w:r>
      <w:proofErr w:type="spellEnd"/>
      <w:r w:rsidRPr="0094457C">
        <w:t>. Palgrave Macmillan.</w:t>
      </w:r>
    </w:p>
    <w:p w14:paraId="651B8797" w14:textId="77777777" w:rsidR="0094457C" w:rsidRPr="0094457C" w:rsidRDefault="0094457C" w:rsidP="0094457C">
      <w:r w:rsidRPr="0094457C">
        <w:t xml:space="preserve">Chouinard, V. (1997). Making space for disabling difference: challenging ableist geographies. </w:t>
      </w:r>
      <w:r w:rsidRPr="0094457C">
        <w:rPr>
          <w:i/>
          <w:iCs/>
        </w:rPr>
        <w:t>Environment and Planning D: Society and Space</w:t>
      </w:r>
      <w:r w:rsidRPr="0094457C">
        <w:t xml:space="preserve">, </w:t>
      </w:r>
      <w:r w:rsidRPr="0094457C">
        <w:rPr>
          <w:i/>
          <w:iCs/>
        </w:rPr>
        <w:t>15</w:t>
      </w:r>
      <w:r w:rsidRPr="0094457C">
        <w:t>, 379–387.</w:t>
      </w:r>
    </w:p>
    <w:p w14:paraId="6C2DA683" w14:textId="025A6354" w:rsidR="0094457C" w:rsidRPr="0094457C" w:rsidRDefault="00CA7E0C" w:rsidP="0094457C">
      <w:hyperlink r:id="rId13" w:history="1">
        <w:r w:rsidR="0094457C" w:rsidRPr="0094457C">
          <w:rPr>
            <w:rStyle w:val="Hyperlink"/>
          </w:rPr>
          <w:t>https://journals.sagepub.com/doi/pdf/10.1068/d150379</w:t>
        </w:r>
      </w:hyperlink>
    </w:p>
    <w:p w14:paraId="2E59D6B1" w14:textId="77777777" w:rsidR="0094457C" w:rsidRPr="0094457C" w:rsidRDefault="0094457C" w:rsidP="0094457C">
      <w:r w:rsidRPr="0094457C">
        <w:lastRenderedPageBreak/>
        <w:t xml:space="preserve">Espino, N. A. (2015). </w:t>
      </w:r>
      <w:r w:rsidRPr="0094457C">
        <w:rPr>
          <w:i/>
          <w:iCs/>
        </w:rPr>
        <w:t>Building the inclusive city: theory and practice for confronting urban segregation</w:t>
      </w:r>
      <w:r w:rsidRPr="0094457C">
        <w:t>. Routledge.</w:t>
      </w:r>
    </w:p>
    <w:p w14:paraId="478E1BBE" w14:textId="77777777" w:rsidR="0094457C" w:rsidRPr="0094457C" w:rsidRDefault="0094457C" w:rsidP="0094457C">
      <w:r w:rsidRPr="0094457C">
        <w:t xml:space="preserve">Garland-Thomson, R. (2017). </w:t>
      </w:r>
      <w:r w:rsidRPr="0094457C">
        <w:rPr>
          <w:i/>
          <w:iCs/>
        </w:rPr>
        <w:t>Extraordinary bodies: figuring physical disability in American culture and literature</w:t>
      </w:r>
      <w:r w:rsidRPr="0094457C">
        <w:t xml:space="preserve"> (20th anniversary edition). Columbia University </w:t>
      </w:r>
    </w:p>
    <w:p w14:paraId="31CB20E4" w14:textId="77777777" w:rsidR="0094457C" w:rsidRPr="0094457C" w:rsidRDefault="0094457C" w:rsidP="0094457C">
      <w:r w:rsidRPr="0094457C">
        <w:t>Press.</w:t>
      </w:r>
    </w:p>
    <w:p w14:paraId="58B98EA3" w14:textId="27C728E4" w:rsidR="0094457C" w:rsidRPr="0094457C" w:rsidRDefault="0094457C" w:rsidP="0094457C">
      <w:r w:rsidRPr="0094457C">
        <w:t xml:space="preserve">Gleeson, B. (2003). Disability and the open city. </w:t>
      </w:r>
      <w:r w:rsidRPr="0094457C">
        <w:rPr>
          <w:i/>
          <w:iCs/>
        </w:rPr>
        <w:t>Urban Studies</w:t>
      </w:r>
      <w:r w:rsidRPr="0094457C">
        <w:t xml:space="preserve">, </w:t>
      </w:r>
      <w:r w:rsidRPr="0094457C">
        <w:rPr>
          <w:i/>
          <w:iCs/>
        </w:rPr>
        <w:t>38</w:t>
      </w:r>
      <w:r w:rsidRPr="0094457C">
        <w:t xml:space="preserve">(2), 251–265. </w:t>
      </w:r>
      <w:hyperlink r:id="rId14" w:history="1">
        <w:r w:rsidRPr="0094457C">
          <w:rPr>
            <w:rStyle w:val="Hyperlink"/>
          </w:rPr>
          <w:t>https://doi.org/10.1080/00420980123531</w:t>
        </w:r>
      </w:hyperlink>
    </w:p>
    <w:p w14:paraId="61A1EBD0" w14:textId="77777777" w:rsidR="0094457C" w:rsidRPr="0094457C" w:rsidRDefault="0094457C" w:rsidP="0094457C">
      <w:r w:rsidRPr="0094457C">
        <w:t xml:space="preserve">Gleeson, B., &amp; Steele, W. (2010). </w:t>
      </w:r>
      <w:r w:rsidRPr="0094457C">
        <w:rPr>
          <w:i/>
          <w:iCs/>
        </w:rPr>
        <w:t>A climate for growth: planning South-East Queensland</w:t>
      </w:r>
      <w:r w:rsidRPr="0094457C">
        <w:t>. University of Queensland Press.</w:t>
      </w:r>
    </w:p>
    <w:p w14:paraId="1BE07A48" w14:textId="77777777" w:rsidR="0094457C" w:rsidRPr="0094457C" w:rsidRDefault="0094457C" w:rsidP="0094457C">
      <w:r w:rsidRPr="0094457C">
        <w:t xml:space="preserve">Goodley, D. (2014). </w:t>
      </w:r>
      <w:r w:rsidRPr="0094457C">
        <w:rPr>
          <w:i/>
          <w:iCs/>
        </w:rPr>
        <w:t>Dis/ability studies theorising disablism and ableism</w:t>
      </w:r>
      <w:r w:rsidRPr="0094457C">
        <w:t>. Routledge.</w:t>
      </w:r>
    </w:p>
    <w:p w14:paraId="0DBFEF54" w14:textId="77777777" w:rsidR="0094457C" w:rsidRPr="0094457C" w:rsidRDefault="0094457C" w:rsidP="0094457C">
      <w:proofErr w:type="spellStart"/>
      <w:r w:rsidRPr="0094457C">
        <w:t>Harpur</w:t>
      </w:r>
      <w:proofErr w:type="spellEnd"/>
      <w:r w:rsidRPr="0094457C">
        <w:t xml:space="preserve">, P. (2009). Sexism and racism, why not ableism? Calling for a cultural shift in the approach to disability discrimination. </w:t>
      </w:r>
      <w:r w:rsidRPr="0094457C">
        <w:rPr>
          <w:i/>
          <w:iCs/>
        </w:rPr>
        <w:t>Alternative Law Journal</w:t>
      </w:r>
      <w:r w:rsidRPr="0094457C">
        <w:t xml:space="preserve">, </w:t>
      </w:r>
      <w:r w:rsidRPr="0094457C">
        <w:rPr>
          <w:i/>
          <w:iCs/>
        </w:rPr>
        <w:t>34</w:t>
      </w:r>
      <w:r w:rsidRPr="0094457C">
        <w:t>(3), 163</w:t>
      </w:r>
    </w:p>
    <w:p w14:paraId="174D34D2" w14:textId="00F4618B" w:rsidR="0094457C" w:rsidRPr="0094457C" w:rsidRDefault="0094457C" w:rsidP="0094457C">
      <w:r w:rsidRPr="0094457C">
        <w:t xml:space="preserve">–167.  </w:t>
      </w:r>
      <w:hyperlink r:id="rId15" w:history="1">
        <w:r w:rsidRPr="0094457C">
          <w:rPr>
            <w:rStyle w:val="Hyperlink"/>
          </w:rPr>
          <w:t>https://doi.org/10.1177/1037969X0903400304</w:t>
        </w:r>
      </w:hyperlink>
    </w:p>
    <w:p w14:paraId="07F024D3" w14:textId="77777777" w:rsidR="0094457C" w:rsidRPr="0094457C" w:rsidRDefault="0094457C" w:rsidP="0094457C">
      <w:r w:rsidRPr="0094457C">
        <w:t xml:space="preserve">Harrison, J., </w:t>
      </w:r>
      <w:proofErr w:type="spellStart"/>
      <w:r w:rsidRPr="0094457C">
        <w:t>Basby</w:t>
      </w:r>
      <w:proofErr w:type="spellEnd"/>
      <w:r w:rsidRPr="0094457C">
        <w:t xml:space="preserve">, K., &amp; Horgan, L. (2015, November 12-13). </w:t>
      </w:r>
      <w:r w:rsidRPr="0094457C">
        <w:rPr>
          <w:i/>
          <w:iCs/>
        </w:rPr>
        <w:t xml:space="preserve">Promoting universal design in architectural education </w:t>
      </w:r>
      <w:r w:rsidRPr="0094457C">
        <w:t xml:space="preserve">[Conference Paper]. Universal Design in </w:t>
      </w:r>
    </w:p>
    <w:p w14:paraId="22C15F89" w14:textId="77777777" w:rsidR="0094457C" w:rsidRPr="0094457C" w:rsidRDefault="0094457C" w:rsidP="0094457C">
      <w:r w:rsidRPr="0094457C">
        <w:t xml:space="preserve">Education Conference, Dublin, Ireland. </w:t>
      </w:r>
      <w:hyperlink r:id="rId16" w:history="1">
        <w:r w:rsidRPr="0094457C">
          <w:rPr>
            <w:rStyle w:val="Hyperlink"/>
          </w:rPr>
          <w:t xml:space="preserve">https://arrow.tudublin.ie/cgi/ </w:t>
        </w:r>
        <w:proofErr w:type="spellStart"/>
        <w:r w:rsidRPr="0094457C">
          <w:rPr>
            <w:rStyle w:val="Hyperlink"/>
          </w:rPr>
          <w:t>viewcontent.cgi?article</w:t>
        </w:r>
        <w:proofErr w:type="spellEnd"/>
        <w:r w:rsidRPr="0094457C">
          <w:rPr>
            <w:rStyle w:val="Hyperlink"/>
          </w:rPr>
          <w:t>=1001&amp;context=exdesthe2</w:t>
        </w:r>
      </w:hyperlink>
      <w:r w:rsidRPr="0094457C">
        <w:t xml:space="preserve">  </w:t>
      </w:r>
    </w:p>
    <w:p w14:paraId="6F7ADD0A" w14:textId="77777777" w:rsidR="0094457C" w:rsidRPr="0094457C" w:rsidRDefault="0094457C" w:rsidP="0094457C">
      <w:r w:rsidRPr="0094457C">
        <w:t xml:space="preserve">Harvey, D. (2009). </w:t>
      </w:r>
      <w:r w:rsidRPr="0094457C">
        <w:rPr>
          <w:i/>
          <w:iCs/>
        </w:rPr>
        <w:t>Social justice and the city</w:t>
      </w:r>
      <w:r w:rsidRPr="0094457C">
        <w:t xml:space="preserve"> (Revised ed.). Athens, GA: University of Georgia Press.</w:t>
      </w:r>
    </w:p>
    <w:p w14:paraId="577EB368" w14:textId="6A5D7D59" w:rsidR="0094457C" w:rsidRPr="0094457C" w:rsidRDefault="0094457C" w:rsidP="0094457C">
      <w:proofErr w:type="spellStart"/>
      <w:r w:rsidRPr="0094457C">
        <w:t>Heylighen</w:t>
      </w:r>
      <w:proofErr w:type="spellEnd"/>
      <w:r w:rsidRPr="0094457C">
        <w:t xml:space="preserve">, A. (2008). Sustainable and inclusive design: A matter of knowledge? </w:t>
      </w:r>
      <w:r w:rsidRPr="0094457C">
        <w:rPr>
          <w:i/>
          <w:iCs/>
        </w:rPr>
        <w:t>Local Environment</w:t>
      </w:r>
      <w:r w:rsidRPr="0094457C">
        <w:t xml:space="preserve">, </w:t>
      </w:r>
      <w:r w:rsidRPr="0094457C">
        <w:rPr>
          <w:i/>
          <w:iCs/>
        </w:rPr>
        <w:t>13</w:t>
      </w:r>
      <w:r w:rsidRPr="0094457C">
        <w:t xml:space="preserve">(6), 531–540. </w:t>
      </w:r>
      <w:hyperlink r:id="rId17" w:history="1">
        <w:r w:rsidRPr="0094457C">
          <w:rPr>
            <w:rStyle w:val="Hyperlink"/>
          </w:rPr>
          <w:t>https://doi.org/10.1080/13549830802259938</w:t>
        </w:r>
      </w:hyperlink>
    </w:p>
    <w:p w14:paraId="32B5707A" w14:textId="77777777" w:rsidR="0094457C" w:rsidRPr="0094457C" w:rsidRDefault="0094457C" w:rsidP="0094457C">
      <w:r w:rsidRPr="0094457C">
        <w:t xml:space="preserve">Hockey, A., Phillips, J., &amp; Walford, N. (2013). Planning for an ageing society: Voices from the planning professions. </w:t>
      </w:r>
      <w:r w:rsidRPr="0094457C">
        <w:rPr>
          <w:i/>
          <w:iCs/>
        </w:rPr>
        <w:t>Planning Practice and Research</w:t>
      </w:r>
      <w:r w:rsidRPr="0094457C">
        <w:t xml:space="preserve">, </w:t>
      </w:r>
      <w:r w:rsidRPr="0094457C">
        <w:rPr>
          <w:i/>
          <w:iCs/>
        </w:rPr>
        <w:t>28</w:t>
      </w:r>
      <w:r w:rsidRPr="0094457C">
        <w:t>(5), 531–540.</w:t>
      </w:r>
    </w:p>
    <w:p w14:paraId="75A8CE09" w14:textId="79223DA2" w:rsidR="0094457C" w:rsidRPr="0094457C" w:rsidRDefault="00CA7E0C" w:rsidP="0094457C">
      <w:hyperlink r:id="rId18" w:history="1">
        <w:r w:rsidR="0094457C" w:rsidRPr="0094457C">
          <w:rPr>
            <w:rStyle w:val="Hyperlink"/>
          </w:rPr>
          <w:t>https://doi.org/10.1080/02697459.2013.820039</w:t>
        </w:r>
      </w:hyperlink>
    </w:p>
    <w:p w14:paraId="67F527AD" w14:textId="77777777" w:rsidR="0094457C" w:rsidRPr="0094457C" w:rsidRDefault="0094457C" w:rsidP="0094457C">
      <w:r w:rsidRPr="0094457C">
        <w:t xml:space="preserve">Hope, A., &amp; </w:t>
      </w:r>
      <w:proofErr w:type="spellStart"/>
      <w:r w:rsidRPr="0094457C">
        <w:t>Timmel</w:t>
      </w:r>
      <w:proofErr w:type="spellEnd"/>
      <w:r w:rsidRPr="0094457C">
        <w:t xml:space="preserve">, S. (2014). </w:t>
      </w:r>
      <w:r w:rsidRPr="0094457C">
        <w:rPr>
          <w:i/>
          <w:iCs/>
        </w:rPr>
        <w:t>Training for transformation in practice</w:t>
      </w:r>
      <w:r w:rsidRPr="0094457C">
        <w:t xml:space="preserve">. Practical Action Publishing. </w:t>
      </w:r>
    </w:p>
    <w:p w14:paraId="43001427" w14:textId="77777777" w:rsidR="0094457C" w:rsidRPr="0094457C" w:rsidRDefault="0094457C" w:rsidP="0094457C">
      <w:pPr>
        <w:rPr>
          <w:i/>
          <w:iCs/>
        </w:rPr>
      </w:pPr>
      <w:r w:rsidRPr="0094457C">
        <w:t xml:space="preserve">Howley, P., Scott, M., &amp; Redmond, D. (2009). Sustainability versus liveability: An investigation of neighbourhood satisfaction. </w:t>
      </w:r>
      <w:r w:rsidRPr="0094457C">
        <w:rPr>
          <w:i/>
          <w:iCs/>
        </w:rPr>
        <w:t>Journal of Environmental Planning and</w:t>
      </w:r>
    </w:p>
    <w:p w14:paraId="7512031E" w14:textId="116A4EE9" w:rsidR="0094457C" w:rsidRPr="0094457C" w:rsidRDefault="0094457C" w:rsidP="0094457C">
      <w:r w:rsidRPr="0094457C">
        <w:rPr>
          <w:i/>
          <w:iCs/>
        </w:rPr>
        <w:t>Management</w:t>
      </w:r>
      <w:r w:rsidRPr="0094457C">
        <w:t xml:space="preserve">, </w:t>
      </w:r>
      <w:r w:rsidRPr="0094457C">
        <w:rPr>
          <w:i/>
          <w:iCs/>
        </w:rPr>
        <w:t>52</w:t>
      </w:r>
      <w:r w:rsidRPr="0094457C">
        <w:t xml:space="preserve">(6), 847–864. </w:t>
      </w:r>
      <w:hyperlink r:id="rId19" w:history="1">
        <w:r w:rsidRPr="0094457C">
          <w:rPr>
            <w:rStyle w:val="Hyperlink"/>
          </w:rPr>
          <w:t>https://doi.org/10.1080/09640560903083798</w:t>
        </w:r>
      </w:hyperlink>
    </w:p>
    <w:p w14:paraId="4F0E85C4" w14:textId="26AF9D61" w:rsidR="0094457C" w:rsidRPr="0094457C" w:rsidRDefault="0094457C" w:rsidP="0094457C">
      <w:r w:rsidRPr="0094457C">
        <w:t xml:space="preserve">Imrie, R. (2003). Architects’ conception of the human body. </w:t>
      </w:r>
      <w:r w:rsidRPr="0094457C">
        <w:rPr>
          <w:i/>
          <w:iCs/>
        </w:rPr>
        <w:t>Society and Space</w:t>
      </w:r>
      <w:r w:rsidRPr="0094457C">
        <w:t xml:space="preserve">, </w:t>
      </w:r>
      <w:r w:rsidRPr="0094457C">
        <w:rPr>
          <w:i/>
          <w:iCs/>
        </w:rPr>
        <w:t>21</w:t>
      </w:r>
      <w:r w:rsidRPr="0094457C">
        <w:t xml:space="preserve">(1), 47–65. </w:t>
      </w:r>
      <w:hyperlink r:id="rId20" w:history="1">
        <w:r w:rsidRPr="0094457C">
          <w:rPr>
            <w:rStyle w:val="Hyperlink"/>
          </w:rPr>
          <w:t>https://doi.org/10.1068/d271t</w:t>
        </w:r>
      </w:hyperlink>
    </w:p>
    <w:p w14:paraId="7B2E9162" w14:textId="77777777" w:rsidR="0094457C" w:rsidRPr="0094457C" w:rsidRDefault="0094457C" w:rsidP="0094457C">
      <w:r w:rsidRPr="0094457C">
        <w:t xml:space="preserve">Lid, I. M. (2016). Implementing universal design in a Norwegian context: Balancing core values and practical priorities. </w:t>
      </w:r>
      <w:r w:rsidRPr="0094457C">
        <w:rPr>
          <w:i/>
          <w:iCs/>
        </w:rPr>
        <w:t>Disability Studies Quarterly</w:t>
      </w:r>
      <w:r w:rsidRPr="0094457C">
        <w:t xml:space="preserve">, </w:t>
      </w:r>
      <w:r w:rsidRPr="0094457C">
        <w:rPr>
          <w:i/>
          <w:iCs/>
        </w:rPr>
        <w:t>36</w:t>
      </w:r>
      <w:r w:rsidRPr="0094457C">
        <w:t>(2).</w:t>
      </w:r>
    </w:p>
    <w:p w14:paraId="448C4CFE" w14:textId="2842526A" w:rsidR="0094457C" w:rsidRPr="0094457C" w:rsidRDefault="00CA7E0C" w:rsidP="0094457C">
      <w:hyperlink r:id="rId21" w:history="1">
        <w:r w:rsidR="0094457C" w:rsidRPr="0094457C">
          <w:rPr>
            <w:rStyle w:val="Hyperlink"/>
          </w:rPr>
          <w:t>https://doi.org/10.18061/dsq.v36i2.3234</w:t>
        </w:r>
      </w:hyperlink>
    </w:p>
    <w:p w14:paraId="557297CB" w14:textId="77777777" w:rsidR="0094457C" w:rsidRPr="0094457C" w:rsidRDefault="0094457C" w:rsidP="0094457C">
      <w:pPr>
        <w:rPr>
          <w:i/>
          <w:iCs/>
        </w:rPr>
      </w:pPr>
      <w:r w:rsidRPr="0094457C">
        <w:t xml:space="preserve">Ministry of the Environment (Norway). (2009, August). </w:t>
      </w:r>
      <w:r w:rsidRPr="0094457C">
        <w:rPr>
          <w:i/>
          <w:iCs/>
        </w:rPr>
        <w:t>Universal design as a municipal strategy: experience and results from the pilot municipality project 2005–2008</w:t>
      </w:r>
    </w:p>
    <w:p w14:paraId="283639B0" w14:textId="77777777" w:rsidR="0094457C" w:rsidRPr="0094457C" w:rsidRDefault="0094457C" w:rsidP="0094457C">
      <w:r w:rsidRPr="0094457C">
        <w:lastRenderedPageBreak/>
        <w:t>(</w:t>
      </w:r>
      <w:proofErr w:type="spellStart"/>
      <w:r w:rsidRPr="0094457C">
        <w:t>Eckmann</w:t>
      </w:r>
      <w:proofErr w:type="spellEnd"/>
      <w:r w:rsidRPr="0094457C">
        <w:t xml:space="preserve"> C B, Trans). (T-1472 E). </w:t>
      </w:r>
      <w:hyperlink r:id="rId22" w:history="1">
        <w:r w:rsidRPr="0094457C">
          <w:rPr>
            <w:rStyle w:val="Hyperlink"/>
          </w:rPr>
          <w:t>https://www.regjeringen.no/contentassets/76dc9f0cce8a487d8e86c0bda613545f/t-1472e.pdf</w:t>
        </w:r>
      </w:hyperlink>
    </w:p>
    <w:p w14:paraId="434FE0D7" w14:textId="5819BAFA" w:rsidR="0094457C" w:rsidRPr="0094457C" w:rsidRDefault="0094457C" w:rsidP="0094457C">
      <w:r w:rsidRPr="0094457C">
        <w:t xml:space="preserve">RL Mace Universal Design Institute. (2019). </w:t>
      </w:r>
      <w:r w:rsidRPr="0094457C">
        <w:rPr>
          <w:i/>
          <w:iCs/>
        </w:rPr>
        <w:t>What is universal design?</w:t>
      </w:r>
      <w:r w:rsidRPr="0094457C">
        <w:t xml:space="preserve"> The RL Mace Universal Design Institute. </w:t>
      </w:r>
      <w:hyperlink r:id="rId23" w:history="1">
        <w:r w:rsidRPr="0094457C">
          <w:rPr>
            <w:rStyle w:val="Hyperlink"/>
          </w:rPr>
          <w:t>https://www.udinstitute.org/what-is-ud</w:t>
        </w:r>
      </w:hyperlink>
    </w:p>
    <w:p w14:paraId="6A717204" w14:textId="77777777" w:rsidR="0094457C" w:rsidRPr="0094457C" w:rsidRDefault="0094457C" w:rsidP="0094457C">
      <w:proofErr w:type="spellStart"/>
      <w:r w:rsidRPr="0094457C">
        <w:t>Shevellar</w:t>
      </w:r>
      <w:proofErr w:type="spellEnd"/>
      <w:r w:rsidRPr="0094457C">
        <w:t>, L., &amp; Lyons, K. (2015). Re-imagining the practices of town, social and community planning in Australia: Opportunities for planning in neoliberal policy settings.</w:t>
      </w:r>
    </w:p>
    <w:p w14:paraId="1D300276" w14:textId="5FBFF766" w:rsidR="0094457C" w:rsidRPr="0094457C" w:rsidRDefault="0094457C" w:rsidP="0094457C">
      <w:r w:rsidRPr="0094457C">
        <w:rPr>
          <w:i/>
          <w:iCs/>
        </w:rPr>
        <w:t>Australian Planner</w:t>
      </w:r>
      <w:r w:rsidRPr="0094457C">
        <w:t xml:space="preserve">, </w:t>
      </w:r>
      <w:r w:rsidRPr="0094457C">
        <w:rPr>
          <w:i/>
          <w:iCs/>
        </w:rPr>
        <w:t>54</w:t>
      </w:r>
      <w:r w:rsidRPr="0094457C">
        <w:t xml:space="preserve">(4), 266–276. </w:t>
      </w:r>
      <w:hyperlink r:id="rId24" w:history="1">
        <w:r w:rsidRPr="0094457C">
          <w:rPr>
            <w:rStyle w:val="Hyperlink"/>
          </w:rPr>
          <w:t>https://doi.org/10.1080/07293682.2015.1056816</w:t>
        </w:r>
      </w:hyperlink>
    </w:p>
    <w:p w14:paraId="55DB17C5" w14:textId="77777777" w:rsidR="0094457C" w:rsidRPr="0094457C" w:rsidRDefault="0094457C" w:rsidP="0094457C">
      <w:r w:rsidRPr="0094457C">
        <w:t xml:space="preserve">Soja, E. W. (2009). The city and spatial justice [La </w:t>
      </w:r>
      <w:proofErr w:type="spellStart"/>
      <w:r w:rsidRPr="0094457C">
        <w:t>ville</w:t>
      </w:r>
      <w:proofErr w:type="spellEnd"/>
      <w:r w:rsidRPr="0094457C">
        <w:t xml:space="preserve"> et la justice </w:t>
      </w:r>
      <w:proofErr w:type="spellStart"/>
      <w:r w:rsidRPr="0094457C">
        <w:t>spatiale</w:t>
      </w:r>
      <w:proofErr w:type="spellEnd"/>
      <w:r w:rsidRPr="0094457C">
        <w:t xml:space="preserve">]. </w:t>
      </w:r>
      <w:r w:rsidRPr="0094457C">
        <w:rPr>
          <w:i/>
          <w:iCs/>
        </w:rPr>
        <w:t xml:space="preserve">Spatial Justice [Justice </w:t>
      </w:r>
      <w:proofErr w:type="spellStart"/>
      <w:r w:rsidRPr="0094457C">
        <w:rPr>
          <w:i/>
          <w:iCs/>
        </w:rPr>
        <w:t>Spatiale</w:t>
      </w:r>
      <w:proofErr w:type="spellEnd"/>
      <w:r w:rsidRPr="0094457C">
        <w:rPr>
          <w:i/>
          <w:iCs/>
        </w:rPr>
        <w:t>]</w:t>
      </w:r>
      <w:r w:rsidRPr="0094457C">
        <w:t xml:space="preserve">, 5. </w:t>
      </w:r>
      <w:hyperlink r:id="rId25" w:history="1">
        <w:r w:rsidRPr="0094457C">
          <w:rPr>
            <w:rStyle w:val="Hyperlink"/>
          </w:rPr>
          <w:t>http://www.jssj.org/wp-content/uploads/2012/12/JSSJ1-1en4.pdf</w:t>
        </w:r>
      </w:hyperlink>
    </w:p>
    <w:p w14:paraId="512BD587" w14:textId="77777777" w:rsidR="0094457C" w:rsidRPr="0094457C" w:rsidRDefault="0094457C" w:rsidP="0094457C">
      <w:r w:rsidRPr="0094457C">
        <w:t xml:space="preserve">Soja, E. W. (2010). </w:t>
      </w:r>
      <w:r w:rsidRPr="0094457C">
        <w:rPr>
          <w:i/>
          <w:iCs/>
        </w:rPr>
        <w:t xml:space="preserve">Seeking spatial justice. </w:t>
      </w:r>
      <w:r w:rsidRPr="0094457C">
        <w:t>University of Minnesota Press.</w:t>
      </w:r>
    </w:p>
    <w:p w14:paraId="19AB8AA4" w14:textId="77777777" w:rsidR="0094457C" w:rsidRPr="0094457C" w:rsidRDefault="0094457C" w:rsidP="0094457C">
      <w:r w:rsidRPr="0094457C">
        <w:t xml:space="preserve">Stafford, L. (2019, October 15). Ableism and the struggle for spatial justice. </w:t>
      </w:r>
      <w:r w:rsidRPr="0094457C">
        <w:rPr>
          <w:i/>
          <w:iCs/>
        </w:rPr>
        <w:t>Open Democracy.</w:t>
      </w:r>
      <w:r w:rsidRPr="0094457C">
        <w:t xml:space="preserve"> </w:t>
      </w:r>
      <w:hyperlink r:id="rId26" w:history="1">
        <w:r w:rsidRPr="0094457C">
          <w:rPr>
            <w:rStyle w:val="Hyperlink"/>
          </w:rPr>
          <w:t>https://www.opendemocracy.net/en/transformation/ableism-and-struggle-spatial-justice/</w:t>
        </w:r>
      </w:hyperlink>
    </w:p>
    <w:p w14:paraId="64F26CF3" w14:textId="77777777" w:rsidR="0094457C" w:rsidRPr="0094457C" w:rsidRDefault="0094457C" w:rsidP="0094457C">
      <w:r w:rsidRPr="0094457C">
        <w:t>Stafford, L. (2020). Disrupting ableism in social work pedagogy with Maurice Merleau-Ponty and critical disability theory. In C. Noble, C. Morley, P. Ablett &amp; S. Cowden</w:t>
      </w:r>
    </w:p>
    <w:p w14:paraId="434A8908" w14:textId="77777777" w:rsidR="0094457C" w:rsidRPr="0094457C" w:rsidRDefault="0094457C" w:rsidP="0094457C">
      <w:r w:rsidRPr="0094457C">
        <w:t xml:space="preserve">(Eds.), </w:t>
      </w:r>
      <w:r w:rsidRPr="0094457C">
        <w:rPr>
          <w:i/>
          <w:iCs/>
        </w:rPr>
        <w:t>The Routledge handbook of critical pedagogies for social work</w:t>
      </w:r>
      <w:r w:rsidRPr="0094457C">
        <w:t xml:space="preserve"> (pp. 359–372). Taylor &amp; Francis.</w:t>
      </w:r>
    </w:p>
    <w:p w14:paraId="1D77E12F" w14:textId="77777777" w:rsidR="0094457C" w:rsidRPr="0094457C" w:rsidRDefault="0094457C" w:rsidP="0094457C">
      <w:r w:rsidRPr="0094457C">
        <w:t xml:space="preserve">Stafford, L., &amp; Baldwin, C. (2015, December 9-11). </w:t>
      </w:r>
      <w:r w:rsidRPr="0094457C">
        <w:rPr>
          <w:i/>
          <w:iCs/>
        </w:rPr>
        <w:t>Planning neighbourhoods for all ages and abilities: A multi-generational perspective</w:t>
      </w:r>
      <w:r w:rsidRPr="0094457C">
        <w:t xml:space="preserve"> [Conference Presentation]. State of Australian Cities</w:t>
      </w:r>
    </w:p>
    <w:p w14:paraId="1B06836C" w14:textId="77777777" w:rsidR="0094457C" w:rsidRPr="0094457C" w:rsidRDefault="0094457C" w:rsidP="0094457C">
      <w:r w:rsidRPr="0094457C">
        <w:t xml:space="preserve">Conference, Gold Coast, Australia. </w:t>
      </w:r>
      <w:hyperlink r:id="rId27" w:history="1">
        <w:r w:rsidRPr="0094457C">
          <w:rPr>
            <w:rStyle w:val="Hyperlink"/>
          </w:rPr>
          <w:t>https://apo.org.au/sites/default/files/resource-files/2015-12/apo-nid63295.pdf</w:t>
        </w:r>
      </w:hyperlink>
      <w:r w:rsidRPr="0094457C">
        <w:rPr>
          <w:u w:val="single"/>
        </w:rPr>
        <w:t xml:space="preserve"> </w:t>
      </w:r>
    </w:p>
    <w:p w14:paraId="63EC7450" w14:textId="77777777" w:rsidR="0094457C" w:rsidRPr="0094457C" w:rsidRDefault="0094457C" w:rsidP="0094457C">
      <w:r w:rsidRPr="0094457C">
        <w:t xml:space="preserve">Stafford, L., &amp; Baldwin, C. (2018). Planning walkable neighbourhoods: are we overlooking diversity in abilities and ages? </w:t>
      </w:r>
      <w:r w:rsidRPr="0094457C">
        <w:rPr>
          <w:i/>
          <w:iCs/>
        </w:rPr>
        <w:t>Journal of Planning Literature</w:t>
      </w:r>
      <w:r w:rsidRPr="0094457C">
        <w:t xml:space="preserve">, </w:t>
      </w:r>
      <w:r w:rsidRPr="0094457C">
        <w:rPr>
          <w:i/>
          <w:iCs/>
        </w:rPr>
        <w:t>33</w:t>
      </w:r>
      <w:r w:rsidRPr="0094457C">
        <w:t>(1), 17–30.</w:t>
      </w:r>
    </w:p>
    <w:p w14:paraId="0137161B" w14:textId="3E0ED30E" w:rsidR="0094457C" w:rsidRPr="0094457C" w:rsidRDefault="00CA7E0C" w:rsidP="0094457C">
      <w:hyperlink r:id="rId28" w:history="1">
        <w:r w:rsidR="0094457C" w:rsidRPr="0094457C">
          <w:rPr>
            <w:rStyle w:val="Hyperlink"/>
          </w:rPr>
          <w:t>https://doi.org/10.1177/0885412217704649</w:t>
        </w:r>
      </w:hyperlink>
    </w:p>
    <w:p w14:paraId="3957B2A5" w14:textId="77777777" w:rsidR="0094457C" w:rsidRPr="0094457C" w:rsidRDefault="0094457C" w:rsidP="0094457C">
      <w:r w:rsidRPr="0094457C">
        <w:t xml:space="preserve">Stafford, L., &amp; </w:t>
      </w:r>
      <w:proofErr w:type="spellStart"/>
      <w:r w:rsidRPr="0094457C">
        <w:t>Voltz</w:t>
      </w:r>
      <w:proofErr w:type="spellEnd"/>
      <w:r w:rsidRPr="0094457C">
        <w:t xml:space="preserve">, K. (2016). Diverse bodies-space politics: Towards a critique of social (in)justice of built environments. </w:t>
      </w:r>
      <w:r w:rsidRPr="0094457C">
        <w:rPr>
          <w:i/>
          <w:iCs/>
        </w:rPr>
        <w:t>TEXT: Journal of Writing and Writing Programs</w:t>
      </w:r>
      <w:r w:rsidRPr="0094457C">
        <w:t>,</w:t>
      </w:r>
    </w:p>
    <w:p w14:paraId="746D3D8E" w14:textId="111133EF" w:rsidR="0094457C" w:rsidRPr="0094457C" w:rsidRDefault="0094457C" w:rsidP="0094457C">
      <w:r w:rsidRPr="0094457C">
        <w:rPr>
          <w:i/>
          <w:iCs/>
        </w:rPr>
        <w:t xml:space="preserve">20 (Special </w:t>
      </w:r>
      <w:proofErr w:type="gramStart"/>
      <w:r w:rsidRPr="0094457C">
        <w:rPr>
          <w:i/>
          <w:iCs/>
        </w:rPr>
        <w:t>Edition)</w:t>
      </w:r>
      <w:r w:rsidRPr="0094457C">
        <w:t>(</w:t>
      </w:r>
      <w:proofErr w:type="gramEnd"/>
      <w:r w:rsidRPr="0094457C">
        <w:t>2 Spec No 34), 1–17.</w:t>
      </w:r>
      <w:hyperlink r:id="rId29" w:history="1">
        <w:r w:rsidRPr="0094457C">
          <w:rPr>
            <w:rStyle w:val="Hyperlink"/>
          </w:rPr>
          <w:t xml:space="preserve"> https://eprints.qut.edu.au/95413/</w:t>
        </w:r>
      </w:hyperlink>
    </w:p>
    <w:p w14:paraId="1DDF5F2F" w14:textId="77777777" w:rsidR="0094457C" w:rsidRPr="0094457C" w:rsidRDefault="0094457C" w:rsidP="0094457C">
      <w:r w:rsidRPr="0094457C">
        <w:t xml:space="preserve">Thompson, S. (2012). Planning for diverse communities. In S. Thompson &amp; P. </w:t>
      </w:r>
      <w:proofErr w:type="spellStart"/>
      <w:r w:rsidRPr="0094457C">
        <w:t>Maginn</w:t>
      </w:r>
      <w:proofErr w:type="spellEnd"/>
      <w:r w:rsidRPr="0094457C">
        <w:t xml:space="preserve"> (Eds.), </w:t>
      </w:r>
      <w:r w:rsidRPr="0094457C">
        <w:rPr>
          <w:i/>
          <w:iCs/>
        </w:rPr>
        <w:t>Planning Australia</w:t>
      </w:r>
      <w:r w:rsidRPr="0094457C">
        <w:t xml:space="preserve">: </w:t>
      </w:r>
      <w:r w:rsidRPr="0094457C">
        <w:rPr>
          <w:i/>
          <w:iCs/>
        </w:rPr>
        <w:t xml:space="preserve">An overview of urban and regional planning </w:t>
      </w:r>
      <w:r w:rsidRPr="0094457C">
        <w:t>(2nd ed., pp.</w:t>
      </w:r>
    </w:p>
    <w:p w14:paraId="1D534573" w14:textId="77777777" w:rsidR="0094457C" w:rsidRPr="0094457C" w:rsidRDefault="0094457C" w:rsidP="0094457C">
      <w:r w:rsidRPr="0094457C">
        <w:t xml:space="preserve">226–253). Cambridge University Press </w:t>
      </w:r>
    </w:p>
    <w:p w14:paraId="1E9C092C" w14:textId="77777777" w:rsidR="0094457C" w:rsidRPr="0094457C" w:rsidRDefault="0094457C" w:rsidP="0094457C">
      <w:r w:rsidRPr="0094457C">
        <w:t xml:space="preserve">United Nations. (2006). </w:t>
      </w:r>
      <w:r w:rsidRPr="0094457C">
        <w:rPr>
          <w:i/>
          <w:iCs/>
        </w:rPr>
        <w:t>Convention on the Rights of Persons with Disabilities (CRPD)</w:t>
      </w:r>
      <w:r w:rsidRPr="0094457C">
        <w:t xml:space="preserve">. Unites Nations. </w:t>
      </w:r>
      <w:hyperlink r:id="rId30" w:history="1">
        <w:r w:rsidRPr="0094457C">
          <w:rPr>
            <w:rStyle w:val="Hyperlink"/>
          </w:rPr>
          <w:t>https://www.un.org/development/desa/disabilities/convention-on-the-rights-of-persons-with-disabilities.html</w:t>
        </w:r>
      </w:hyperlink>
    </w:p>
    <w:p w14:paraId="63189FE5" w14:textId="77777777" w:rsidR="0094457C" w:rsidRPr="0094457C" w:rsidRDefault="0094457C" w:rsidP="0094457C">
      <w:r w:rsidRPr="0094457C">
        <w:t xml:space="preserve">United Nations Conference on Housing and Sustainable Urban Development (Habitat III). (2016). </w:t>
      </w:r>
      <w:r w:rsidRPr="0094457C">
        <w:rPr>
          <w:i/>
          <w:iCs/>
        </w:rPr>
        <w:t xml:space="preserve">Policy paper 1: Right to the city and cities for all. </w:t>
      </w:r>
      <w:r w:rsidRPr="0094457C">
        <w:t xml:space="preserve">New York: United </w:t>
      </w:r>
    </w:p>
    <w:p w14:paraId="42BAF5E6" w14:textId="7C07FE55" w:rsidR="0094457C" w:rsidRPr="0094457C" w:rsidRDefault="0094457C" w:rsidP="0094457C">
      <w:r w:rsidRPr="0094457C">
        <w:t xml:space="preserve">Nations. (UN Doc.: A/CONF.226/PC.3/14). </w:t>
      </w:r>
      <w:hyperlink r:id="rId31" w:history="1">
        <w:r w:rsidRPr="0094457C">
          <w:rPr>
            <w:rStyle w:val="Hyperlink"/>
          </w:rPr>
          <w:t>http://uploads.habitat3.org/hb3/Policy-Paper-1-English.pdf</w:t>
        </w:r>
      </w:hyperlink>
    </w:p>
    <w:p w14:paraId="19784D00" w14:textId="77777777" w:rsidR="0094457C" w:rsidRPr="0094457C" w:rsidRDefault="0094457C" w:rsidP="0094457C">
      <w:r w:rsidRPr="0094457C">
        <w:t xml:space="preserve">United Nations, Department of Economic and Social Affairs, Sustainable Development. (n.d.). </w:t>
      </w:r>
      <w:r w:rsidRPr="0094457C">
        <w:rPr>
          <w:i/>
          <w:iCs/>
        </w:rPr>
        <w:t>The 17 goals</w:t>
      </w:r>
      <w:r w:rsidRPr="0094457C">
        <w:t xml:space="preserve">. United Nations. </w:t>
      </w:r>
      <w:hyperlink r:id="rId32" w:history="1">
        <w:r w:rsidRPr="0094457C">
          <w:rPr>
            <w:rStyle w:val="Hyperlink"/>
          </w:rPr>
          <w:t>https://sdgs.un.org/goals</w:t>
        </w:r>
      </w:hyperlink>
    </w:p>
    <w:p w14:paraId="372EC7AD" w14:textId="77777777" w:rsidR="0094457C" w:rsidRPr="0094457C" w:rsidRDefault="0094457C" w:rsidP="0094457C">
      <w:proofErr w:type="spellStart"/>
      <w:r w:rsidRPr="0094457C">
        <w:lastRenderedPageBreak/>
        <w:t>Vavik</w:t>
      </w:r>
      <w:proofErr w:type="spellEnd"/>
      <w:r w:rsidRPr="0094457C">
        <w:t xml:space="preserve">, T., &amp; </w:t>
      </w:r>
      <w:proofErr w:type="spellStart"/>
      <w:r w:rsidRPr="0094457C">
        <w:t>Keitsch</w:t>
      </w:r>
      <w:proofErr w:type="spellEnd"/>
      <w:r w:rsidRPr="0094457C">
        <w:t>, M. (2010). Exploring relationships between universal design and social sustainable development: Some methodological aspects to the debate on the</w:t>
      </w:r>
    </w:p>
    <w:p w14:paraId="18AF070D" w14:textId="3A4C6FC6" w:rsidR="0094457C" w:rsidRPr="0094457C" w:rsidRDefault="0094457C" w:rsidP="0094457C">
      <w:r w:rsidRPr="0094457C">
        <w:t xml:space="preserve">sciences of sustainability. </w:t>
      </w:r>
      <w:r w:rsidRPr="0094457C">
        <w:rPr>
          <w:i/>
          <w:iCs/>
        </w:rPr>
        <w:t>Sustainable Development</w:t>
      </w:r>
      <w:r w:rsidRPr="0094457C">
        <w:t xml:space="preserve">, </w:t>
      </w:r>
      <w:r w:rsidRPr="0094457C">
        <w:rPr>
          <w:i/>
          <w:iCs/>
        </w:rPr>
        <w:t>18</w:t>
      </w:r>
      <w:r w:rsidRPr="0094457C">
        <w:t xml:space="preserve">, 295–305. </w:t>
      </w:r>
      <w:hyperlink r:id="rId33" w:history="1">
        <w:r w:rsidRPr="0094457C">
          <w:rPr>
            <w:rStyle w:val="Hyperlink"/>
          </w:rPr>
          <w:t>https://doi.org/10.1002/sd.480</w:t>
        </w:r>
      </w:hyperlink>
    </w:p>
    <w:p w14:paraId="0DAE30FA" w14:textId="77777777" w:rsidR="0094457C" w:rsidRPr="0094457C" w:rsidRDefault="0094457C" w:rsidP="0094457C">
      <w:pPr>
        <w:rPr>
          <w:i/>
          <w:iCs/>
        </w:rPr>
      </w:pPr>
      <w:r w:rsidRPr="0094457C">
        <w:t xml:space="preserve">Weiss, G. (2015). The normal, the natural and the normative: A </w:t>
      </w:r>
      <w:proofErr w:type="spellStart"/>
      <w:r w:rsidRPr="0094457C">
        <w:t>Merleau</w:t>
      </w:r>
      <w:proofErr w:type="spellEnd"/>
      <w:r w:rsidRPr="0094457C">
        <w:t xml:space="preserve">-Pontian legacy to feminist theory, critical race theory and disability studies. </w:t>
      </w:r>
      <w:r w:rsidRPr="0094457C">
        <w:rPr>
          <w:i/>
          <w:iCs/>
        </w:rPr>
        <w:t>Continental</w:t>
      </w:r>
    </w:p>
    <w:p w14:paraId="6E99A396" w14:textId="08DA7395" w:rsidR="0094457C" w:rsidRPr="0094457C" w:rsidRDefault="0094457C" w:rsidP="0094457C">
      <w:r w:rsidRPr="0094457C">
        <w:rPr>
          <w:i/>
          <w:iCs/>
        </w:rPr>
        <w:t xml:space="preserve"> Philosophy Review</w:t>
      </w:r>
      <w:r w:rsidRPr="0094457C">
        <w:t xml:space="preserve">, </w:t>
      </w:r>
      <w:r w:rsidRPr="0094457C">
        <w:rPr>
          <w:i/>
          <w:iCs/>
        </w:rPr>
        <w:t>48</w:t>
      </w:r>
      <w:r w:rsidRPr="0094457C">
        <w:t xml:space="preserve">(1), 77–93. </w:t>
      </w:r>
      <w:hyperlink r:id="rId34" w:history="1">
        <w:r w:rsidRPr="0094457C">
          <w:rPr>
            <w:rStyle w:val="Hyperlink"/>
          </w:rPr>
          <w:t>https://doi.org/10.1007/s11007-014-9316-y</w:t>
        </w:r>
      </w:hyperlink>
    </w:p>
    <w:p w14:paraId="1725973F" w14:textId="77777777" w:rsidR="0094457C" w:rsidRPr="0094457C" w:rsidRDefault="0094457C" w:rsidP="0094457C">
      <w:r w:rsidRPr="0094457C">
        <w:t xml:space="preserve">Weissman, L. K. (1992). </w:t>
      </w:r>
      <w:r w:rsidRPr="0094457C">
        <w:rPr>
          <w:i/>
          <w:iCs/>
        </w:rPr>
        <w:t>Discrimination by design: A feminist critique of the man-made environment</w:t>
      </w:r>
      <w:r w:rsidRPr="0094457C">
        <w:t>. Urbana: University of Illinois Press.</w:t>
      </w:r>
    </w:p>
    <w:p w14:paraId="18281924" w14:textId="4DD9001C" w:rsidR="0094457C" w:rsidRPr="0094457C" w:rsidRDefault="0094457C" w:rsidP="0094457C">
      <w:proofErr w:type="spellStart"/>
      <w:r w:rsidRPr="0094457C">
        <w:t>Wolbring</w:t>
      </w:r>
      <w:proofErr w:type="spellEnd"/>
      <w:r w:rsidRPr="0094457C">
        <w:t xml:space="preserve">, G. (2008). The politics of ableism. </w:t>
      </w:r>
      <w:r w:rsidRPr="0094457C">
        <w:rPr>
          <w:i/>
          <w:iCs/>
        </w:rPr>
        <w:t>Development</w:t>
      </w:r>
      <w:r w:rsidRPr="0094457C">
        <w:t xml:space="preserve">, </w:t>
      </w:r>
      <w:r w:rsidRPr="0094457C">
        <w:rPr>
          <w:i/>
          <w:iCs/>
        </w:rPr>
        <w:t>51</w:t>
      </w:r>
      <w:r w:rsidRPr="0094457C">
        <w:t xml:space="preserve">, 252–258. </w:t>
      </w:r>
      <w:hyperlink r:id="rId35" w:history="1">
        <w:r w:rsidRPr="0094457C">
          <w:rPr>
            <w:rStyle w:val="Hyperlink"/>
          </w:rPr>
          <w:t>https://doi.org/10.1057/dev.2008.17</w:t>
        </w:r>
      </w:hyperlink>
    </w:p>
    <w:p w14:paraId="555937F8" w14:textId="77777777" w:rsidR="0094457C" w:rsidRPr="0094457C" w:rsidRDefault="0094457C" w:rsidP="0094457C">
      <w:r w:rsidRPr="0094457C">
        <w:t xml:space="preserve">Young, I. M. (1990). </w:t>
      </w:r>
      <w:r w:rsidRPr="0094457C">
        <w:rPr>
          <w:i/>
          <w:iCs/>
        </w:rPr>
        <w:t xml:space="preserve">Throwing like a girl and other essays in feminist philosophy and social theory. </w:t>
      </w:r>
      <w:r w:rsidRPr="0094457C">
        <w:t>Indiana University Press.</w:t>
      </w:r>
    </w:p>
    <w:p w14:paraId="1634DB91" w14:textId="77777777" w:rsidR="0094457C" w:rsidRPr="0094457C" w:rsidRDefault="0094457C" w:rsidP="0094457C"/>
    <w:p w14:paraId="4F64C5A0" w14:textId="3E066F4E" w:rsidR="006C5478" w:rsidRDefault="006C5478" w:rsidP="006C5478">
      <w:pPr>
        <w:pStyle w:val="Heading2"/>
      </w:pPr>
      <w:r>
        <w:t>Briefing Paper Information</w:t>
      </w:r>
    </w:p>
    <w:p w14:paraId="67FE669C" w14:textId="4C65CF7B" w:rsidR="006C5478" w:rsidRDefault="006C5478" w:rsidP="006C5478">
      <w:r>
        <w:t xml:space="preserve">Centre for Justice Briefing </w:t>
      </w:r>
      <w:r w:rsidR="6FF0B64C">
        <w:t>Papers</w:t>
      </w:r>
      <w:r>
        <w:t xml:space="preserve"> are a publication of QUT’s Centre for Justice. They are published through a process of open peer </w:t>
      </w:r>
      <w:r w:rsidR="7672A121">
        <w:t>review</w:t>
      </w:r>
      <w:r>
        <w:t>. The views expressed in this paper are those of the author(s) and no not necessarily represent those of QUT.</w:t>
      </w:r>
    </w:p>
    <w:p w14:paraId="25B3668F" w14:textId="77777777" w:rsidR="006C5478" w:rsidRDefault="006C5478" w:rsidP="006C5478">
      <w:r>
        <w:t xml:space="preserve">Email – </w:t>
      </w:r>
      <w:hyperlink r:id="rId36" w:history="1">
        <w:r w:rsidRPr="00CE08B0">
          <w:rPr>
            <w:rStyle w:val="Hyperlink"/>
          </w:rPr>
          <w:t>qutc4j@qut.edu.au</w:t>
        </w:r>
      </w:hyperlink>
    </w:p>
    <w:p w14:paraId="6E724766" w14:textId="77777777" w:rsidR="006C5478" w:rsidRDefault="006C5478" w:rsidP="006C5478">
      <w:r>
        <w:t>Twitter - @CrimeJusticeQUT</w:t>
      </w:r>
    </w:p>
    <w:p w14:paraId="18031887" w14:textId="35D69F9E" w:rsidR="006C5478" w:rsidRDefault="006C5478" w:rsidP="006C5478">
      <w:r>
        <w:t xml:space="preserve">Website – </w:t>
      </w:r>
      <w:hyperlink r:id="rId37" w:history="1">
        <w:r w:rsidRPr="00AC0C3E">
          <w:rPr>
            <w:rStyle w:val="Hyperlink"/>
          </w:rPr>
          <w:t>www.qut.edu.au/research/centre-for-justice</w:t>
        </w:r>
      </w:hyperlink>
    </w:p>
    <w:p w14:paraId="3E5BEB8C" w14:textId="77777777" w:rsidR="006C5478" w:rsidRDefault="006C5478">
      <w:pPr>
        <w:spacing w:after="0" w:line="240" w:lineRule="auto"/>
        <w:rPr>
          <w:rFonts w:ascii="Calibri" w:eastAsiaTheme="majorEastAsia" w:hAnsi="Calibri" w:cs="Calibri"/>
          <w:b/>
          <w:bCs/>
          <w:color w:val="2F5496" w:themeColor="accent1" w:themeShade="BF"/>
          <w:sz w:val="30"/>
          <w:szCs w:val="30"/>
        </w:rPr>
      </w:pPr>
      <w:r>
        <w:br w:type="page"/>
      </w:r>
    </w:p>
    <w:p w14:paraId="3BD36904" w14:textId="59B4F9F0" w:rsidR="004D2C71" w:rsidRDefault="004D2C71" w:rsidP="00E2157E">
      <w:pPr>
        <w:pStyle w:val="ReferenceList"/>
      </w:pPr>
    </w:p>
    <w:sectPr w:rsidR="004D2C71" w:rsidSect="00607160">
      <w:footerReference w:type="even" r:id="rId38"/>
      <w:footerReference w:type="default" r:id="rId39"/>
      <w:pgSz w:w="12240" w:h="15840"/>
      <w:pgMar w:top="306" w:right="736" w:bottom="1440" w:left="58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E35BA" w14:textId="77777777" w:rsidR="00D25F80" w:rsidRDefault="00D25F80" w:rsidP="00315049">
      <w:r>
        <w:separator/>
      </w:r>
    </w:p>
  </w:endnote>
  <w:endnote w:type="continuationSeparator" w:id="0">
    <w:p w14:paraId="78C509E2" w14:textId="77777777" w:rsidR="00D25F80" w:rsidRDefault="00D25F80" w:rsidP="0031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166922"/>
      <w:docPartObj>
        <w:docPartGallery w:val="Page Numbers (Bottom of Page)"/>
        <w:docPartUnique/>
      </w:docPartObj>
    </w:sdtPr>
    <w:sdtEndPr>
      <w:rPr>
        <w:rStyle w:val="PageNumber"/>
      </w:rPr>
    </w:sdtEndPr>
    <w:sdtContent>
      <w:p w14:paraId="7B9926B4" w14:textId="5F86F18C" w:rsidR="00F45509" w:rsidRDefault="00F45509" w:rsidP="00CE08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0861B5" w14:textId="77777777" w:rsidR="00F45509" w:rsidRDefault="00F45509" w:rsidP="00F455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3930100"/>
      <w:docPartObj>
        <w:docPartGallery w:val="Page Numbers (Bottom of Page)"/>
        <w:docPartUnique/>
      </w:docPartObj>
    </w:sdtPr>
    <w:sdtEndPr>
      <w:rPr>
        <w:rStyle w:val="PageNumber"/>
        <w:b/>
        <w:bCs/>
      </w:rPr>
    </w:sdtEndPr>
    <w:sdtContent>
      <w:p w14:paraId="138457F7" w14:textId="0E2EC103" w:rsidR="00F45509" w:rsidRPr="00F45509" w:rsidRDefault="00F45509" w:rsidP="00CE08B0">
        <w:pPr>
          <w:pStyle w:val="Footer"/>
          <w:framePr w:wrap="none" w:vAnchor="text" w:hAnchor="margin" w:xAlign="right" w:y="1"/>
          <w:rPr>
            <w:rStyle w:val="PageNumber"/>
            <w:b/>
            <w:bCs/>
          </w:rPr>
        </w:pPr>
        <w:r w:rsidRPr="00F45509">
          <w:rPr>
            <w:rStyle w:val="PageNumber"/>
            <w:b/>
            <w:bCs/>
          </w:rPr>
          <w:fldChar w:fldCharType="begin"/>
        </w:r>
        <w:r w:rsidRPr="00F45509">
          <w:rPr>
            <w:rStyle w:val="PageNumber"/>
            <w:b/>
            <w:bCs/>
          </w:rPr>
          <w:instrText xml:space="preserve"> PAGE </w:instrText>
        </w:r>
        <w:r w:rsidRPr="00F45509">
          <w:rPr>
            <w:rStyle w:val="PageNumber"/>
            <w:b/>
            <w:bCs/>
          </w:rPr>
          <w:fldChar w:fldCharType="separate"/>
        </w:r>
        <w:r w:rsidRPr="00F45509">
          <w:rPr>
            <w:rStyle w:val="PageNumber"/>
            <w:b/>
            <w:bCs/>
            <w:noProof/>
          </w:rPr>
          <w:t>5</w:t>
        </w:r>
        <w:r w:rsidRPr="00F45509">
          <w:rPr>
            <w:rStyle w:val="PageNumber"/>
            <w:b/>
            <w:bCs/>
          </w:rPr>
          <w:fldChar w:fldCharType="end"/>
        </w:r>
      </w:p>
    </w:sdtContent>
  </w:sdt>
  <w:p w14:paraId="298B599E" w14:textId="4D0160B9" w:rsidR="004E4EAF" w:rsidRDefault="004E4EAF" w:rsidP="00F45509">
    <w:pPr>
      <w:pStyle w:val="Footer"/>
      <w:ind w:right="360"/>
    </w:pPr>
    <w:r>
      <w:rPr>
        <w:noProof/>
        <w:lang w:eastAsia="en-AU"/>
      </w:rPr>
      <w:drawing>
        <wp:anchor distT="0" distB="0" distL="114300" distR="114300" simplePos="0" relativeHeight="251659264" behindDoc="1" locked="0" layoutInCell="1" allowOverlap="1" wp14:anchorId="48E87AFD" wp14:editId="30D34BF4">
          <wp:simplePos x="0" y="0"/>
          <wp:positionH relativeFrom="margin">
            <wp:posOffset>635</wp:posOffset>
          </wp:positionH>
          <wp:positionV relativeFrom="paragraph">
            <wp:posOffset>-97040</wp:posOffset>
          </wp:positionV>
          <wp:extent cx="7105650" cy="485775"/>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05650" cy="485775"/>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A64DE" w14:textId="77777777" w:rsidR="00D25F80" w:rsidRDefault="00D25F80" w:rsidP="00315049">
      <w:r>
        <w:separator/>
      </w:r>
    </w:p>
  </w:footnote>
  <w:footnote w:type="continuationSeparator" w:id="0">
    <w:p w14:paraId="58EDDB39" w14:textId="77777777" w:rsidR="00D25F80" w:rsidRDefault="00D25F80" w:rsidP="00315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NTM3NjEyNbYwNLVQ0lEKTi0uzszPAykwrAUAw44JiiwAAAA="/>
  </w:docVars>
  <w:rsids>
    <w:rsidRoot w:val="008A3A21"/>
    <w:rsid w:val="0007112C"/>
    <w:rsid w:val="00086BC4"/>
    <w:rsid w:val="000C46FF"/>
    <w:rsid w:val="000E44DC"/>
    <w:rsid w:val="00147E4B"/>
    <w:rsid w:val="00154AAB"/>
    <w:rsid w:val="00183F91"/>
    <w:rsid w:val="00196E84"/>
    <w:rsid w:val="001F1A4B"/>
    <w:rsid w:val="002304D3"/>
    <w:rsid w:val="00240FF3"/>
    <w:rsid w:val="00242B08"/>
    <w:rsid w:val="00265450"/>
    <w:rsid w:val="0027273D"/>
    <w:rsid w:val="00277FBD"/>
    <w:rsid w:val="002819A8"/>
    <w:rsid w:val="00294D95"/>
    <w:rsid w:val="002B6C12"/>
    <w:rsid w:val="002C4A67"/>
    <w:rsid w:val="002F66BB"/>
    <w:rsid w:val="00315049"/>
    <w:rsid w:val="003560F5"/>
    <w:rsid w:val="00356E84"/>
    <w:rsid w:val="00361C2B"/>
    <w:rsid w:val="003A00E6"/>
    <w:rsid w:val="003D28CF"/>
    <w:rsid w:val="003E0B16"/>
    <w:rsid w:val="00400CB8"/>
    <w:rsid w:val="00416D4A"/>
    <w:rsid w:val="004219B6"/>
    <w:rsid w:val="00421EFF"/>
    <w:rsid w:val="00463340"/>
    <w:rsid w:val="004D2C71"/>
    <w:rsid w:val="004E4EAF"/>
    <w:rsid w:val="005201EC"/>
    <w:rsid w:val="00565794"/>
    <w:rsid w:val="005A1B9C"/>
    <w:rsid w:val="005D430A"/>
    <w:rsid w:val="005F26F5"/>
    <w:rsid w:val="00607160"/>
    <w:rsid w:val="006820C9"/>
    <w:rsid w:val="00682978"/>
    <w:rsid w:val="0068417D"/>
    <w:rsid w:val="00692CE2"/>
    <w:rsid w:val="006A1935"/>
    <w:rsid w:val="006C5478"/>
    <w:rsid w:val="006E0599"/>
    <w:rsid w:val="006E0FD6"/>
    <w:rsid w:val="006E567F"/>
    <w:rsid w:val="006F44F9"/>
    <w:rsid w:val="00731B23"/>
    <w:rsid w:val="007867BC"/>
    <w:rsid w:val="007D0AB6"/>
    <w:rsid w:val="007F271B"/>
    <w:rsid w:val="007F3768"/>
    <w:rsid w:val="008309C6"/>
    <w:rsid w:val="00896BC3"/>
    <w:rsid w:val="008A3A21"/>
    <w:rsid w:val="008C4357"/>
    <w:rsid w:val="008E3ADC"/>
    <w:rsid w:val="00905E62"/>
    <w:rsid w:val="0090611F"/>
    <w:rsid w:val="009329C8"/>
    <w:rsid w:val="00935998"/>
    <w:rsid w:val="009410C8"/>
    <w:rsid w:val="0094457C"/>
    <w:rsid w:val="00962F96"/>
    <w:rsid w:val="00990790"/>
    <w:rsid w:val="009A02C3"/>
    <w:rsid w:val="009A0842"/>
    <w:rsid w:val="009F166F"/>
    <w:rsid w:val="00A16C07"/>
    <w:rsid w:val="00A24CBE"/>
    <w:rsid w:val="00A31EFB"/>
    <w:rsid w:val="00A6070C"/>
    <w:rsid w:val="00A85B8B"/>
    <w:rsid w:val="00AC0C3E"/>
    <w:rsid w:val="00B21507"/>
    <w:rsid w:val="00B27FE8"/>
    <w:rsid w:val="00B7319E"/>
    <w:rsid w:val="00B97C06"/>
    <w:rsid w:val="00BD0C34"/>
    <w:rsid w:val="00BF34E7"/>
    <w:rsid w:val="00C126D4"/>
    <w:rsid w:val="00CA7E0C"/>
    <w:rsid w:val="00CF4135"/>
    <w:rsid w:val="00D0022B"/>
    <w:rsid w:val="00D25F80"/>
    <w:rsid w:val="00D43218"/>
    <w:rsid w:val="00DC5851"/>
    <w:rsid w:val="00DE0771"/>
    <w:rsid w:val="00E1560B"/>
    <w:rsid w:val="00E177C1"/>
    <w:rsid w:val="00E2157E"/>
    <w:rsid w:val="00E60C7A"/>
    <w:rsid w:val="00EA01AB"/>
    <w:rsid w:val="00ED5EED"/>
    <w:rsid w:val="00EE189A"/>
    <w:rsid w:val="00EF7007"/>
    <w:rsid w:val="00F16D01"/>
    <w:rsid w:val="00F210E2"/>
    <w:rsid w:val="00F40FEF"/>
    <w:rsid w:val="00F421FD"/>
    <w:rsid w:val="00F45509"/>
    <w:rsid w:val="00F60DA7"/>
    <w:rsid w:val="00F915AE"/>
    <w:rsid w:val="00F94032"/>
    <w:rsid w:val="00FD20BD"/>
    <w:rsid w:val="1935FA25"/>
    <w:rsid w:val="2774875A"/>
    <w:rsid w:val="396E32E9"/>
    <w:rsid w:val="5A9BB10B"/>
    <w:rsid w:val="6ADF936B"/>
    <w:rsid w:val="6FF0B64C"/>
    <w:rsid w:val="72F92A9B"/>
    <w:rsid w:val="7672A121"/>
    <w:rsid w:val="7E715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73AB"/>
  <w15:chartTrackingRefBased/>
  <w15:docId w15:val="{DA49DCCF-26B4-5649-95AC-0CD9634C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49"/>
    <w:pPr>
      <w:spacing w:after="100" w:line="276" w:lineRule="auto"/>
    </w:pPr>
  </w:style>
  <w:style w:type="paragraph" w:styleId="Heading1">
    <w:name w:val="heading 1"/>
    <w:basedOn w:val="Normal"/>
    <w:next w:val="Normal"/>
    <w:link w:val="Heading1Char"/>
    <w:uiPriority w:val="9"/>
    <w:qFormat/>
    <w:rsid w:val="00315049"/>
    <w:pPr>
      <w:keepNext/>
      <w:keepLines/>
      <w:spacing w:before="240" w:after="200"/>
      <w:outlineLvl w:val="0"/>
    </w:pPr>
    <w:rPr>
      <w:rFonts w:ascii="Calibri" w:eastAsiaTheme="majorEastAsia" w:hAnsi="Calibri" w:cs="Calibri"/>
      <w:b/>
      <w:bCs/>
      <w:color w:val="305495"/>
      <w:sz w:val="36"/>
      <w:szCs w:val="36"/>
    </w:rPr>
  </w:style>
  <w:style w:type="paragraph" w:styleId="Heading2">
    <w:name w:val="heading 2"/>
    <w:basedOn w:val="Normal"/>
    <w:next w:val="Normal"/>
    <w:link w:val="Heading2Char"/>
    <w:uiPriority w:val="9"/>
    <w:unhideWhenUsed/>
    <w:qFormat/>
    <w:rsid w:val="00463340"/>
    <w:pPr>
      <w:keepNext/>
      <w:keepLines/>
      <w:spacing w:before="40"/>
      <w:outlineLvl w:val="1"/>
    </w:pPr>
    <w:rPr>
      <w:rFonts w:ascii="Calibri" w:eastAsiaTheme="majorEastAsia" w:hAnsi="Calibri" w:cs="Calibri"/>
      <w:b/>
      <w:bCs/>
      <w:color w:val="2F5496" w:themeColor="accent1" w:themeShade="BF"/>
      <w:sz w:val="30"/>
      <w:szCs w:val="30"/>
    </w:rPr>
  </w:style>
  <w:style w:type="paragraph" w:styleId="Heading3">
    <w:name w:val="heading 3"/>
    <w:basedOn w:val="Normal"/>
    <w:next w:val="Normal"/>
    <w:link w:val="Heading3Char"/>
    <w:uiPriority w:val="9"/>
    <w:unhideWhenUsed/>
    <w:qFormat/>
    <w:rsid w:val="00463340"/>
    <w:pPr>
      <w:keepNext/>
      <w:keepLines/>
      <w:spacing w:before="40"/>
      <w:outlineLvl w:val="2"/>
    </w:pPr>
    <w:rPr>
      <w:rFonts w:ascii="Calibri" w:eastAsiaTheme="majorEastAsia" w:hAnsi="Calibri" w:cs="Calibri"/>
      <w:b/>
      <w:bCs/>
      <w:color w:val="171717" w:themeColor="background2" w:themeShade="1A"/>
      <w:sz w:val="26"/>
      <w:szCs w:val="26"/>
    </w:rPr>
  </w:style>
  <w:style w:type="paragraph" w:styleId="Heading4">
    <w:name w:val="heading 4"/>
    <w:basedOn w:val="Normal"/>
    <w:next w:val="Normal"/>
    <w:link w:val="Heading4Char"/>
    <w:uiPriority w:val="9"/>
    <w:unhideWhenUsed/>
    <w:qFormat/>
    <w:rsid w:val="004E4EA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560B"/>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E1560B"/>
    <w:rPr>
      <w:rFonts w:eastAsiaTheme="majorEastAsia" w:cstheme="majorBidi"/>
      <w:b/>
      <w:spacing w:val="-10"/>
      <w:kern w:val="28"/>
      <w:sz w:val="56"/>
      <w:szCs w:val="56"/>
    </w:rPr>
  </w:style>
  <w:style w:type="character" w:customStyle="1" w:styleId="Heading1Char">
    <w:name w:val="Heading 1 Char"/>
    <w:basedOn w:val="DefaultParagraphFont"/>
    <w:link w:val="Heading1"/>
    <w:uiPriority w:val="9"/>
    <w:rsid w:val="00315049"/>
    <w:rPr>
      <w:rFonts w:ascii="Calibri" w:eastAsiaTheme="majorEastAsia" w:hAnsi="Calibri" w:cs="Calibri"/>
      <w:b/>
      <w:bCs/>
      <w:color w:val="305495"/>
      <w:sz w:val="36"/>
      <w:szCs w:val="36"/>
    </w:rPr>
  </w:style>
  <w:style w:type="character" w:customStyle="1" w:styleId="Heading2Char">
    <w:name w:val="Heading 2 Char"/>
    <w:basedOn w:val="DefaultParagraphFont"/>
    <w:link w:val="Heading2"/>
    <w:uiPriority w:val="9"/>
    <w:rsid w:val="00463340"/>
    <w:rPr>
      <w:rFonts w:ascii="Calibri" w:eastAsiaTheme="majorEastAsia" w:hAnsi="Calibri" w:cs="Calibri"/>
      <w:b/>
      <w:bCs/>
      <w:color w:val="2F5496" w:themeColor="accent1" w:themeShade="BF"/>
      <w:sz w:val="30"/>
      <w:szCs w:val="30"/>
    </w:rPr>
  </w:style>
  <w:style w:type="character" w:customStyle="1" w:styleId="Heading3Char">
    <w:name w:val="Heading 3 Char"/>
    <w:basedOn w:val="DefaultParagraphFont"/>
    <w:link w:val="Heading3"/>
    <w:uiPriority w:val="9"/>
    <w:rsid w:val="00463340"/>
    <w:rPr>
      <w:rFonts w:ascii="Calibri" w:eastAsiaTheme="majorEastAsia" w:hAnsi="Calibri" w:cs="Calibri"/>
      <w:b/>
      <w:bCs/>
      <w:color w:val="171717" w:themeColor="background2" w:themeShade="1A"/>
      <w:sz w:val="26"/>
      <w:szCs w:val="26"/>
    </w:rPr>
  </w:style>
  <w:style w:type="paragraph" w:styleId="Header">
    <w:name w:val="header"/>
    <w:basedOn w:val="Normal"/>
    <w:link w:val="HeaderChar"/>
    <w:uiPriority w:val="99"/>
    <w:unhideWhenUsed/>
    <w:rsid w:val="004E4EAF"/>
    <w:pPr>
      <w:tabs>
        <w:tab w:val="center" w:pos="4513"/>
        <w:tab w:val="right" w:pos="9026"/>
      </w:tabs>
    </w:pPr>
  </w:style>
  <w:style w:type="character" w:customStyle="1" w:styleId="HeaderChar">
    <w:name w:val="Header Char"/>
    <w:basedOn w:val="DefaultParagraphFont"/>
    <w:link w:val="Header"/>
    <w:uiPriority w:val="99"/>
    <w:rsid w:val="004E4EAF"/>
  </w:style>
  <w:style w:type="paragraph" w:styleId="Footer">
    <w:name w:val="footer"/>
    <w:basedOn w:val="Normal"/>
    <w:link w:val="FooterChar"/>
    <w:uiPriority w:val="99"/>
    <w:unhideWhenUsed/>
    <w:rsid w:val="004E4EAF"/>
    <w:pPr>
      <w:tabs>
        <w:tab w:val="center" w:pos="4513"/>
        <w:tab w:val="right" w:pos="9026"/>
      </w:tabs>
    </w:pPr>
  </w:style>
  <w:style w:type="character" w:customStyle="1" w:styleId="FooterChar">
    <w:name w:val="Footer Char"/>
    <w:basedOn w:val="DefaultParagraphFont"/>
    <w:link w:val="Footer"/>
    <w:uiPriority w:val="99"/>
    <w:rsid w:val="004E4EAF"/>
  </w:style>
  <w:style w:type="character" w:customStyle="1" w:styleId="Heading4Char">
    <w:name w:val="Heading 4 Char"/>
    <w:basedOn w:val="DefaultParagraphFont"/>
    <w:link w:val="Heading4"/>
    <w:uiPriority w:val="9"/>
    <w:rsid w:val="004E4EAF"/>
    <w:rPr>
      <w:rFonts w:asciiTheme="majorHAnsi" w:eastAsiaTheme="majorEastAsia" w:hAnsiTheme="majorHAnsi" w:cstheme="majorBidi"/>
      <w:i/>
      <w:iCs/>
      <w:color w:val="2F5496" w:themeColor="accent1" w:themeShade="BF"/>
    </w:rPr>
  </w:style>
  <w:style w:type="paragraph" w:customStyle="1" w:styleId="APAFigH">
    <w:name w:val="APA Fig H"/>
    <w:basedOn w:val="Normal"/>
    <w:link w:val="APAFigHChar"/>
    <w:qFormat/>
    <w:rsid w:val="00AC0C3E"/>
    <w:pPr>
      <w:keepNext/>
      <w:spacing w:line="240" w:lineRule="auto"/>
    </w:pPr>
    <w:rPr>
      <w:rFonts w:ascii="Calibri" w:eastAsiaTheme="minorEastAsia" w:hAnsi="Calibri"/>
      <w:b/>
      <w:bCs/>
      <w:i/>
      <w:iCs/>
      <w:szCs w:val="22"/>
    </w:rPr>
  </w:style>
  <w:style w:type="character" w:customStyle="1" w:styleId="APAFigHChar">
    <w:name w:val="APA Fig H Char"/>
    <w:link w:val="APAFigH"/>
    <w:rsid w:val="00AC0C3E"/>
    <w:rPr>
      <w:rFonts w:ascii="Calibri" w:eastAsiaTheme="minorEastAsia" w:hAnsi="Calibri"/>
      <w:b/>
      <w:bCs/>
      <w:i/>
      <w:iCs/>
      <w:szCs w:val="22"/>
    </w:rPr>
  </w:style>
  <w:style w:type="paragraph" w:customStyle="1" w:styleId="APAFigI">
    <w:name w:val="APA Fig I"/>
    <w:next w:val="APAFigH"/>
    <w:qFormat/>
    <w:rsid w:val="00A31EFB"/>
    <w:pPr>
      <w:keepNext/>
      <w:spacing w:line="480" w:lineRule="auto"/>
      <w:jc w:val="center"/>
    </w:pPr>
    <w:rPr>
      <w:rFonts w:ascii="Times New Roman" w:eastAsia="Times New Roman" w:hAnsi="Times New Roman" w:cs="Times New Roman"/>
      <w:lang w:val="en-GB"/>
    </w:rPr>
  </w:style>
  <w:style w:type="paragraph" w:customStyle="1" w:styleId="APAFigNote">
    <w:name w:val="APA Fig Note"/>
    <w:basedOn w:val="Normal"/>
    <w:qFormat/>
    <w:rsid w:val="00A31EFB"/>
    <w:pPr>
      <w:spacing w:line="480" w:lineRule="auto"/>
    </w:pPr>
    <w:rPr>
      <w:rFonts w:ascii="Calibri" w:eastAsiaTheme="minorEastAsia" w:hAnsi="Calibri"/>
      <w:szCs w:val="22"/>
    </w:rPr>
  </w:style>
  <w:style w:type="character" w:styleId="SubtleEmphasis">
    <w:name w:val="Subtle Emphasis"/>
    <w:basedOn w:val="DefaultParagraphFont"/>
    <w:uiPriority w:val="19"/>
    <w:qFormat/>
    <w:rsid w:val="00607160"/>
    <w:rPr>
      <w:i/>
      <w:iCs/>
      <w:color w:val="404040" w:themeColor="text1" w:themeTint="BF"/>
      <w:sz w:val="20"/>
      <w:szCs w:val="20"/>
    </w:rPr>
  </w:style>
  <w:style w:type="paragraph" w:styleId="ListParagraph">
    <w:name w:val="List Paragraph"/>
    <w:basedOn w:val="Normal"/>
    <w:uiPriority w:val="34"/>
    <w:qFormat/>
    <w:rsid w:val="009410C8"/>
    <w:pPr>
      <w:ind w:left="720"/>
      <w:contextualSpacing/>
    </w:pPr>
  </w:style>
  <w:style w:type="character" w:styleId="Hyperlink">
    <w:name w:val="Hyperlink"/>
    <w:basedOn w:val="DefaultParagraphFont"/>
    <w:uiPriority w:val="99"/>
    <w:unhideWhenUsed/>
    <w:rsid w:val="00277FBD"/>
    <w:rPr>
      <w:color w:val="0563C1" w:themeColor="hyperlink"/>
      <w:u w:val="single"/>
    </w:rPr>
  </w:style>
  <w:style w:type="paragraph" w:customStyle="1" w:styleId="APABody">
    <w:name w:val="APA Body"/>
    <w:basedOn w:val="Normal"/>
    <w:link w:val="APABodyChar"/>
    <w:qFormat/>
    <w:rsid w:val="00B27FE8"/>
    <w:pPr>
      <w:spacing w:line="480" w:lineRule="auto"/>
      <w:ind w:firstLine="720"/>
    </w:pPr>
    <w:rPr>
      <w:rFonts w:ascii="Calibri" w:eastAsiaTheme="minorEastAsia" w:hAnsi="Calibri"/>
      <w:color w:val="000000" w:themeColor="text1"/>
      <w:szCs w:val="22"/>
    </w:rPr>
  </w:style>
  <w:style w:type="character" w:customStyle="1" w:styleId="APABodyChar">
    <w:name w:val="APA Body Char"/>
    <w:basedOn w:val="DefaultParagraphFont"/>
    <w:link w:val="APABody"/>
    <w:rsid w:val="00B27FE8"/>
    <w:rPr>
      <w:rFonts w:ascii="Calibri" w:eastAsiaTheme="minorEastAsia" w:hAnsi="Calibri"/>
      <w:color w:val="000000" w:themeColor="text1"/>
      <w:szCs w:val="22"/>
    </w:rPr>
  </w:style>
  <w:style w:type="character" w:styleId="UnresolvedMention">
    <w:name w:val="Unresolved Mention"/>
    <w:basedOn w:val="DefaultParagraphFont"/>
    <w:uiPriority w:val="99"/>
    <w:semiHidden/>
    <w:unhideWhenUsed/>
    <w:rsid w:val="00B27FE8"/>
    <w:rPr>
      <w:color w:val="605E5C"/>
      <w:shd w:val="clear" w:color="auto" w:fill="E1DFDD"/>
    </w:rPr>
  </w:style>
  <w:style w:type="paragraph" w:customStyle="1" w:styleId="References">
    <w:name w:val="References"/>
    <w:basedOn w:val="Normal"/>
    <w:qFormat/>
    <w:rsid w:val="00EA01AB"/>
    <w:rPr>
      <w:sz w:val="18"/>
      <w:szCs w:val="18"/>
      <w:lang w:val="en-GB"/>
    </w:rPr>
  </w:style>
  <w:style w:type="character" w:styleId="PageNumber">
    <w:name w:val="page number"/>
    <w:basedOn w:val="DefaultParagraphFont"/>
    <w:uiPriority w:val="99"/>
    <w:semiHidden/>
    <w:unhideWhenUsed/>
    <w:rsid w:val="00F45509"/>
  </w:style>
  <w:style w:type="character" w:styleId="CommentReference">
    <w:name w:val="annotation reference"/>
    <w:basedOn w:val="DefaultParagraphFont"/>
    <w:uiPriority w:val="99"/>
    <w:semiHidden/>
    <w:unhideWhenUsed/>
    <w:rsid w:val="00A6070C"/>
    <w:rPr>
      <w:sz w:val="16"/>
      <w:szCs w:val="16"/>
    </w:rPr>
  </w:style>
  <w:style w:type="paragraph" w:styleId="CommentText">
    <w:name w:val="annotation text"/>
    <w:basedOn w:val="Normal"/>
    <w:link w:val="CommentTextChar"/>
    <w:uiPriority w:val="99"/>
    <w:semiHidden/>
    <w:unhideWhenUsed/>
    <w:rsid w:val="00A6070C"/>
    <w:pPr>
      <w:spacing w:line="240" w:lineRule="auto"/>
    </w:pPr>
    <w:rPr>
      <w:sz w:val="20"/>
      <w:szCs w:val="20"/>
    </w:rPr>
  </w:style>
  <w:style w:type="character" w:customStyle="1" w:styleId="CommentTextChar">
    <w:name w:val="Comment Text Char"/>
    <w:basedOn w:val="DefaultParagraphFont"/>
    <w:link w:val="CommentText"/>
    <w:uiPriority w:val="99"/>
    <w:semiHidden/>
    <w:rsid w:val="00A6070C"/>
    <w:rPr>
      <w:sz w:val="20"/>
      <w:szCs w:val="20"/>
    </w:rPr>
  </w:style>
  <w:style w:type="paragraph" w:styleId="CommentSubject">
    <w:name w:val="annotation subject"/>
    <w:basedOn w:val="CommentText"/>
    <w:next w:val="CommentText"/>
    <w:link w:val="CommentSubjectChar"/>
    <w:uiPriority w:val="99"/>
    <w:semiHidden/>
    <w:unhideWhenUsed/>
    <w:rsid w:val="00A6070C"/>
    <w:rPr>
      <w:b/>
      <w:bCs/>
    </w:rPr>
  </w:style>
  <w:style w:type="character" w:customStyle="1" w:styleId="CommentSubjectChar">
    <w:name w:val="Comment Subject Char"/>
    <w:basedOn w:val="CommentTextChar"/>
    <w:link w:val="CommentSubject"/>
    <w:uiPriority w:val="99"/>
    <w:semiHidden/>
    <w:rsid w:val="00A6070C"/>
    <w:rPr>
      <w:b/>
      <w:bCs/>
      <w:sz w:val="20"/>
      <w:szCs w:val="20"/>
    </w:rPr>
  </w:style>
  <w:style w:type="character" w:styleId="FollowedHyperlink">
    <w:name w:val="FollowedHyperlink"/>
    <w:basedOn w:val="DefaultParagraphFont"/>
    <w:uiPriority w:val="99"/>
    <w:semiHidden/>
    <w:unhideWhenUsed/>
    <w:rsid w:val="004D2C71"/>
    <w:rPr>
      <w:color w:val="954F72" w:themeColor="followedHyperlink"/>
      <w:u w:val="single"/>
    </w:rPr>
  </w:style>
  <w:style w:type="paragraph" w:styleId="NormalWeb">
    <w:name w:val="Normal (Web)"/>
    <w:basedOn w:val="Normal"/>
    <w:uiPriority w:val="99"/>
    <w:unhideWhenUsed/>
    <w:rsid w:val="006C5478"/>
    <w:pPr>
      <w:spacing w:before="100" w:beforeAutospacing="1" w:afterAutospacing="1" w:line="240" w:lineRule="auto"/>
    </w:pPr>
    <w:rPr>
      <w:rFonts w:ascii="Times New Roman" w:eastAsia="Times New Roman" w:hAnsi="Times New Roman" w:cs="Times New Roman"/>
      <w:lang w:eastAsia="en-GB"/>
    </w:rPr>
  </w:style>
  <w:style w:type="paragraph" w:customStyle="1" w:styleId="ReferenceList">
    <w:name w:val="Reference List"/>
    <w:basedOn w:val="NormalWeb"/>
    <w:qFormat/>
    <w:rsid w:val="00E2157E"/>
    <w:pPr>
      <w:spacing w:line="480" w:lineRule="auto"/>
      <w:ind w:left="720" w:hanging="720"/>
    </w:pPr>
    <w:rPr>
      <w:rFonts w:ascii="Calibri" w:hAnsi="Calibri"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3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sagepub.com/doi/pdf/10.1068/d150379" TargetMode="External"/><Relationship Id="rId18" Type="http://schemas.openxmlformats.org/officeDocument/2006/relationships/hyperlink" Target="https://doi.org/10.1080/02697459.2013.820039" TargetMode="External"/><Relationship Id="rId26" Type="http://schemas.openxmlformats.org/officeDocument/2006/relationships/hyperlink" Target="https://www.opendemocracy.net/en/transformation/ableism-and-struggle-spatial-justice/" TargetMode="External"/><Relationship Id="rId39" Type="http://schemas.openxmlformats.org/officeDocument/2006/relationships/footer" Target="footer2.xml"/><Relationship Id="rId21" Type="http://schemas.openxmlformats.org/officeDocument/2006/relationships/hyperlink" Target="https://doi.org/10.18061/dsq.v36i2.3234" TargetMode="External"/><Relationship Id="rId34" Type="http://schemas.openxmlformats.org/officeDocument/2006/relationships/hyperlink" Target="https://doi.org/10.1007/s11007-014-9316-y" TargetMode="External"/><Relationship Id="rId7"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hyperlink" Target="https://arrow.tudublin.ie/cgi/%20viewcontent.cgi?article=1001&amp;context=exdesthe2" TargetMode="External"/><Relationship Id="rId20" Type="http://schemas.openxmlformats.org/officeDocument/2006/relationships/hyperlink" Target="https://doi.org/10.1068/d271t" TargetMode="External"/><Relationship Id="rId29" Type="http://schemas.openxmlformats.org/officeDocument/2006/relationships/hyperlink" Target="%20https:/eprints.qut.edu.au/9541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doi.org/10.1111/j.1468-2427.2012.01190.x" TargetMode="External"/><Relationship Id="rId24" Type="http://schemas.openxmlformats.org/officeDocument/2006/relationships/hyperlink" Target="https://doi.org/10.1080/07293682.2015.1056816" TargetMode="External"/><Relationship Id="rId32" Type="http://schemas.openxmlformats.org/officeDocument/2006/relationships/hyperlink" Target="https://sdgs.un.org/goals" TargetMode="External"/><Relationship Id="rId37" Type="http://schemas.openxmlformats.org/officeDocument/2006/relationships/hyperlink" Target="http://www.qut.edu.au/research/centre-for-justice"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1177/1037969X0903400304" TargetMode="External"/><Relationship Id="rId23" Type="http://schemas.openxmlformats.org/officeDocument/2006/relationships/hyperlink" Target="https://www.udinstitute.org/what-is-ud" TargetMode="External"/><Relationship Id="rId28" Type="http://schemas.openxmlformats.org/officeDocument/2006/relationships/hyperlink" Target="https://doi.org/10.1177/0885412217704649" TargetMode="External"/><Relationship Id="rId36" Type="http://schemas.openxmlformats.org/officeDocument/2006/relationships/hyperlink" Target="mailto:qutc4j@qut.edu.au" TargetMode="External"/><Relationship Id="rId10" Type="http://schemas.openxmlformats.org/officeDocument/2006/relationships/hyperlink" Target="https://doi.org/10.1080/02697459.2018.1548217" TargetMode="External"/><Relationship Id="rId19" Type="http://schemas.openxmlformats.org/officeDocument/2006/relationships/hyperlink" Target="https://doi.org/10.1080/09640560903083798" TargetMode="External"/><Relationship Id="rId31" Type="http://schemas.openxmlformats.org/officeDocument/2006/relationships/hyperlink" Target="http://uploads.habitat3.org/hb3/Policy-Paper-1-English.pdf" TargetMode="External"/><Relationship Id="rId4" Type="http://schemas.openxmlformats.org/officeDocument/2006/relationships/footnotes" Target="footnotes.xml"/><Relationship Id="rId9" Type="http://schemas.openxmlformats.org/officeDocument/2006/relationships/hyperlink" Target="https://www.ds4si.org/blog/2012/1/23/spatial-justice-a-frame-for-reclaiming-our-rights-to-be-thri.html" TargetMode="External"/><Relationship Id="rId14" Type="http://schemas.openxmlformats.org/officeDocument/2006/relationships/hyperlink" Target="https://doi.org/10.1080/00420980123531" TargetMode="External"/><Relationship Id="rId22" Type="http://schemas.openxmlformats.org/officeDocument/2006/relationships/hyperlink" Target="https://www.regjeringen.no/contentassets/76dc9f0cce8a487d8e86c0bda613545f/t-1472e.pdf" TargetMode="External"/><Relationship Id="rId27" Type="http://schemas.openxmlformats.org/officeDocument/2006/relationships/hyperlink" Target="https://apo.org.au/sites/default/files/resource-files/2015-12/apo-nid63295.pdf" TargetMode="External"/><Relationship Id="rId30" Type="http://schemas.openxmlformats.org/officeDocument/2006/relationships/hyperlink" Target="https://www.un.org/development/desa/disabilities/convention-on-the-rights-of-persons-with-disabilities.html" TargetMode="External"/><Relationship Id="rId35" Type="http://schemas.openxmlformats.org/officeDocument/2006/relationships/hyperlink" Target="https://doi.org/10.1057/dev.2008.17" TargetMode="External"/><Relationship Id="rId8" Type="http://schemas.openxmlformats.org/officeDocument/2006/relationships/hyperlink" Target="https://www.abs.gov.au/statistics/health/disability/disability-ageing-and-carers-australia-summary-findings/latest-release" TargetMode="External"/><Relationship Id="rId3" Type="http://schemas.openxmlformats.org/officeDocument/2006/relationships/webSettings" Target="webSettings.xml"/><Relationship Id="rId12" Type="http://schemas.openxmlformats.org/officeDocument/2006/relationships/hyperlink" Target="http://archive.hardingconsultants.co.nz/ipenz2011/downloads/Burdett__Bridget.pdf" TargetMode="External"/><Relationship Id="rId17" Type="http://schemas.openxmlformats.org/officeDocument/2006/relationships/hyperlink" Target="https://doi.org/10.1080/13549830802259938" TargetMode="External"/><Relationship Id="rId25" Type="http://schemas.openxmlformats.org/officeDocument/2006/relationships/hyperlink" Target="http://www.jssj.org/wp-content/uploads/2012/12/JSSJ1-1en4.pdf" TargetMode="External"/><Relationship Id="rId33" Type="http://schemas.openxmlformats.org/officeDocument/2006/relationships/hyperlink" Target="https://doi.org/10.1002/sd.480"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4075</Words>
  <Characters>23230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Pretorius</dc:creator>
  <cp:keywords/>
  <dc:description/>
  <cp:lastModifiedBy>Rosie Pretorius</cp:lastModifiedBy>
  <cp:revision>8</cp:revision>
  <dcterms:created xsi:type="dcterms:W3CDTF">2021-01-11T21:44:00Z</dcterms:created>
  <dcterms:modified xsi:type="dcterms:W3CDTF">2021-03-23T07:24:00Z</dcterms:modified>
</cp:coreProperties>
</file>